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71982" w14:textId="307876B7" w:rsidR="00A76ACA" w:rsidRDefault="00D03B2F" w:rsidP="00B675D2">
      <w:pPr>
        <w:rPr>
          <w:b/>
          <w:bCs/>
        </w:rPr>
      </w:pPr>
      <w:r w:rsidRPr="00061282">
        <w:rPr>
          <w:noProof/>
        </w:rPr>
        <w:drawing>
          <wp:anchor distT="0" distB="0" distL="114300" distR="114300" simplePos="0" relativeHeight="251658240" behindDoc="0" locked="0" layoutInCell="1" allowOverlap="1" wp14:anchorId="38DFD45B" wp14:editId="624B90B9">
            <wp:simplePos x="0" y="0"/>
            <wp:positionH relativeFrom="column">
              <wp:posOffset>438150</wp:posOffset>
            </wp:positionH>
            <wp:positionV relativeFrom="paragraph">
              <wp:posOffset>290513</wp:posOffset>
            </wp:positionV>
            <wp:extent cx="5076825" cy="857250"/>
            <wp:effectExtent l="0" t="0" r="9525" b="0"/>
            <wp:wrapSquare wrapText="bothSides"/>
            <wp:docPr id="910834390" name="Picture 2" descr="Welcome To Bloomington Idah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elcome To Bloomington Idaho">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857250"/>
                    </a:xfrm>
                    <a:prstGeom prst="rect">
                      <a:avLst/>
                    </a:prstGeom>
                    <a:noFill/>
                    <a:ln>
                      <a:noFill/>
                    </a:ln>
                  </pic:spPr>
                </pic:pic>
              </a:graphicData>
            </a:graphic>
          </wp:anchor>
        </w:drawing>
      </w:r>
    </w:p>
    <w:p w14:paraId="392667B9" w14:textId="77777777" w:rsidR="00825C41" w:rsidRDefault="00825C41" w:rsidP="00B675D2">
      <w:pPr>
        <w:rPr>
          <w:b/>
          <w:bCs/>
        </w:rPr>
      </w:pPr>
    </w:p>
    <w:p w14:paraId="3E027FB3" w14:textId="77777777" w:rsidR="00D03B2F" w:rsidRPr="00D03B2F" w:rsidRDefault="00D03B2F" w:rsidP="00D03B2F">
      <w:pPr>
        <w:jc w:val="center"/>
        <w:rPr>
          <w:rStyle w:val="Hyperlink"/>
          <w:b/>
          <w:bCs/>
        </w:rPr>
      </w:pPr>
      <w:r w:rsidRPr="00D03B2F">
        <w:rPr>
          <w:b/>
          <w:bCs/>
        </w:rPr>
        <w:fldChar w:fldCharType="begin"/>
      </w:r>
      <w:r w:rsidRPr="00D03B2F">
        <w:rPr>
          <w:b/>
          <w:bCs/>
        </w:rPr>
        <w:instrText>HYPERLINK "https://bloomingtonidaho.net/"</w:instrText>
      </w:r>
      <w:r w:rsidRPr="00D03B2F">
        <w:rPr>
          <w:b/>
          <w:bCs/>
        </w:rPr>
      </w:r>
      <w:r w:rsidRPr="00D03B2F">
        <w:rPr>
          <w:b/>
          <w:bCs/>
        </w:rPr>
        <w:fldChar w:fldCharType="separate"/>
      </w:r>
    </w:p>
    <w:p w14:paraId="00E9B9EB" w14:textId="546679DC" w:rsidR="00D03B2F" w:rsidRPr="00D03B2F" w:rsidRDefault="00D03B2F" w:rsidP="00D03B2F">
      <w:pPr>
        <w:jc w:val="center"/>
        <w:rPr>
          <w:rStyle w:val="Hyperlink"/>
          <w:b/>
          <w:bCs/>
        </w:rPr>
      </w:pPr>
    </w:p>
    <w:p w14:paraId="135B0D06" w14:textId="218E0F37" w:rsidR="00D03B2F" w:rsidRDefault="00D03B2F" w:rsidP="00D03B2F">
      <w:pPr>
        <w:jc w:val="center"/>
        <w:rPr>
          <w:b/>
          <w:bCs/>
        </w:rPr>
      </w:pPr>
      <w:r w:rsidRPr="00D03B2F">
        <w:rPr>
          <w:b/>
          <w:bCs/>
        </w:rPr>
        <w:fldChar w:fldCharType="end"/>
      </w:r>
    </w:p>
    <w:p w14:paraId="65C45E85" w14:textId="77777777" w:rsidR="00D03B2F" w:rsidRDefault="00D03B2F" w:rsidP="004F4BA2">
      <w:pPr>
        <w:jc w:val="center"/>
        <w:rPr>
          <w:b/>
          <w:bCs/>
        </w:rPr>
      </w:pPr>
    </w:p>
    <w:p w14:paraId="656F51F8" w14:textId="545C4065" w:rsidR="0088358F" w:rsidRDefault="00B675D2" w:rsidP="004F4BA2">
      <w:pPr>
        <w:jc w:val="center"/>
      </w:pPr>
      <w:r w:rsidRPr="00B675D2">
        <w:rPr>
          <w:b/>
          <w:bCs/>
        </w:rPr>
        <w:t>City of Bloomington, Idaho</w:t>
      </w:r>
      <w:r w:rsidRPr="00B675D2">
        <w:br/>
      </w:r>
      <w:r w:rsidRPr="00B675D2">
        <w:rPr>
          <w:b/>
          <w:bCs/>
        </w:rPr>
        <w:t xml:space="preserve">Comprehensive Plan: </w:t>
      </w:r>
      <w:r w:rsidR="00A479BF">
        <w:rPr>
          <w:b/>
          <w:bCs/>
        </w:rPr>
        <w:t>202</w:t>
      </w:r>
      <w:r w:rsidR="00134C14">
        <w:rPr>
          <w:b/>
          <w:bCs/>
        </w:rPr>
        <w:t>6</w:t>
      </w:r>
      <w:r w:rsidRPr="00B675D2">
        <w:rPr>
          <w:b/>
          <w:bCs/>
        </w:rPr>
        <w:t xml:space="preserve"> Update</w:t>
      </w:r>
      <w:r w:rsidRPr="00B675D2">
        <w:br/>
        <w:t>A Policy Framework for Sustainable Rural Growth</w:t>
      </w:r>
    </w:p>
    <w:p w14:paraId="2B3ACFE9" w14:textId="1D085279" w:rsidR="0088358F" w:rsidRDefault="00B675D2" w:rsidP="004F4BA2">
      <w:pPr>
        <w:jc w:val="center"/>
        <w:rPr>
          <w:i/>
          <w:iCs/>
        </w:rPr>
      </w:pPr>
      <w:r w:rsidRPr="00B675D2">
        <w:br/>
      </w:r>
      <w:r w:rsidR="00D87D45">
        <w:rPr>
          <w:i/>
          <w:iCs/>
        </w:rPr>
        <w:t>Version</w:t>
      </w:r>
      <w:r w:rsidRPr="00B675D2">
        <w:rPr>
          <w:i/>
          <w:iCs/>
        </w:rPr>
        <w:t xml:space="preserve">: </w:t>
      </w:r>
      <w:r w:rsidR="00DB29C3">
        <w:rPr>
          <w:i/>
          <w:iCs/>
        </w:rPr>
        <w:t>January 2026</w:t>
      </w:r>
    </w:p>
    <w:p w14:paraId="7C969F77" w14:textId="7AA8726E" w:rsidR="00B675D2" w:rsidRDefault="00B675D2" w:rsidP="004F4BA2">
      <w:pPr>
        <w:jc w:val="center"/>
      </w:pPr>
      <w:r w:rsidRPr="00B675D2">
        <w:br/>
        <w:t>Prepared with Reference to the 2014 Comprehensive Plan and Leading Best Practices in Idaho Rural Planning</w:t>
      </w:r>
    </w:p>
    <w:p w14:paraId="6F40D6F0" w14:textId="77777777" w:rsidR="008A2113" w:rsidRDefault="008A2113" w:rsidP="004F4BA2">
      <w:pPr>
        <w:jc w:val="center"/>
      </w:pPr>
    </w:p>
    <w:p w14:paraId="68F7BB4F" w14:textId="77777777" w:rsidR="00B014C2" w:rsidRDefault="00B014C2" w:rsidP="004F4BA2">
      <w:pPr>
        <w:jc w:val="center"/>
      </w:pPr>
    </w:p>
    <w:p w14:paraId="0E9D5B66" w14:textId="77777777" w:rsidR="00A91466" w:rsidRDefault="00A91466" w:rsidP="004F4BA2">
      <w:pPr>
        <w:jc w:val="center"/>
      </w:pPr>
    </w:p>
    <w:p w14:paraId="6030D4F8" w14:textId="705EB34A" w:rsidR="00576EA0" w:rsidRDefault="00576EA0" w:rsidP="004F4BA2">
      <w:pPr>
        <w:jc w:val="center"/>
      </w:pPr>
      <w:r>
        <w:t>Developed by</w:t>
      </w:r>
      <w:r w:rsidR="00A479BF">
        <w:t>:</w:t>
      </w:r>
      <w:r>
        <w:t xml:space="preserve"> The </w:t>
      </w:r>
      <w:r w:rsidR="00A479BF">
        <w:t xml:space="preserve">Bloomington City </w:t>
      </w:r>
      <w:r>
        <w:t>Building Development Committee</w:t>
      </w:r>
    </w:p>
    <w:p w14:paraId="131ED7CA" w14:textId="77777777" w:rsidR="00347FFE" w:rsidRDefault="00A930EA" w:rsidP="00347FFE">
      <w:pPr>
        <w:pStyle w:val="NoSpacing"/>
        <w:jc w:val="center"/>
      </w:pPr>
      <w:r>
        <w:t>David Bee, Daniel Call, Winston Hart, Wayne Lloyd,</w:t>
      </w:r>
    </w:p>
    <w:p w14:paraId="1C4DF7B4" w14:textId="68B2FD1F" w:rsidR="00A930EA" w:rsidRDefault="00347FFE" w:rsidP="00347FFE">
      <w:pPr>
        <w:pStyle w:val="NoSpacing"/>
        <w:jc w:val="center"/>
      </w:pPr>
      <w:r>
        <w:t>Jane Simpson, Jerry Thornock, Tel Thornock</w:t>
      </w:r>
    </w:p>
    <w:p w14:paraId="273DD248" w14:textId="77777777" w:rsidR="00576EA0" w:rsidRDefault="00576EA0" w:rsidP="004F4BA2">
      <w:pPr>
        <w:jc w:val="center"/>
      </w:pPr>
    </w:p>
    <w:p w14:paraId="280A3F96" w14:textId="77777777" w:rsidR="00A91466" w:rsidRDefault="00A91466" w:rsidP="004F4BA2">
      <w:pPr>
        <w:jc w:val="center"/>
      </w:pPr>
    </w:p>
    <w:p w14:paraId="64596BB6" w14:textId="1F69BC55" w:rsidR="00FC6CD0" w:rsidRDefault="00FC6CD0" w:rsidP="004F4BA2">
      <w:pPr>
        <w:jc w:val="center"/>
      </w:pPr>
      <w:r>
        <w:t xml:space="preserve">Approved </w:t>
      </w:r>
      <w:r w:rsidR="00E7184C">
        <w:t>February</w:t>
      </w:r>
      <w:r w:rsidR="00A479BF">
        <w:t xml:space="preserve"> 2026 </w:t>
      </w:r>
      <w:r>
        <w:t xml:space="preserve">by: </w:t>
      </w:r>
    </w:p>
    <w:p w14:paraId="15E55161" w14:textId="00F49CD9" w:rsidR="00FC6CD0" w:rsidRDefault="00A479BF" w:rsidP="004F4BA2">
      <w:pPr>
        <w:jc w:val="center"/>
      </w:pPr>
      <w:r>
        <w:t xml:space="preserve">Bloomington </w:t>
      </w:r>
      <w:r w:rsidR="00FC6CD0">
        <w:t>City Council Members</w:t>
      </w:r>
    </w:p>
    <w:p w14:paraId="27698256" w14:textId="21F4502C" w:rsidR="00FC6CD0" w:rsidRDefault="00540448" w:rsidP="004F4BA2">
      <w:pPr>
        <w:jc w:val="center"/>
      </w:pPr>
      <w:r>
        <w:t xml:space="preserve">Rob Allred, </w:t>
      </w:r>
      <w:r w:rsidR="005C5B84">
        <w:t xml:space="preserve">Colin Hart, </w:t>
      </w:r>
      <w:r w:rsidR="00E7184C">
        <w:t>Cindy Piggott, Dan Porter</w:t>
      </w:r>
    </w:p>
    <w:p w14:paraId="27D0AD09" w14:textId="77777777" w:rsidR="00597EEC" w:rsidRDefault="00597EEC" w:rsidP="00597EEC">
      <w:pPr>
        <w:jc w:val="center"/>
      </w:pPr>
    </w:p>
    <w:p w14:paraId="6D4E8305" w14:textId="7952E4E7" w:rsidR="00597EEC" w:rsidRDefault="00811FBF" w:rsidP="00597EEC">
      <w:pPr>
        <w:jc w:val="center"/>
      </w:pPr>
      <w:r>
        <w:t>Mayor</w:t>
      </w:r>
    </w:p>
    <w:p w14:paraId="389375C1" w14:textId="16D8DC1C" w:rsidR="001A68C4" w:rsidRDefault="00E7184C" w:rsidP="00B014C2">
      <w:pPr>
        <w:jc w:val="center"/>
      </w:pPr>
      <w:r>
        <w:t>Michael Knapp</w:t>
      </w:r>
      <w:r w:rsidR="00A76ACA">
        <w:br w:type="page"/>
      </w:r>
    </w:p>
    <w:p w14:paraId="39708EFE" w14:textId="77777777" w:rsidR="00B675D2" w:rsidRPr="00B675D2" w:rsidRDefault="00000000" w:rsidP="00B675D2">
      <w:r>
        <w:rPr>
          <w:noProof/>
        </w:rPr>
        <w:lastRenderedPageBreak/>
        <w:pict w14:anchorId="03534287">
          <v:rect id="_x0000_i1025" style="width:0;height:1.5pt" o:hralign="center" o:hrstd="t" o:hr="t" fillcolor="#a0a0a0" stroked="f"/>
        </w:pict>
      </w:r>
    </w:p>
    <w:p w14:paraId="2E2A7C5E" w14:textId="77777777" w:rsidR="00B675D2" w:rsidRPr="00B675D2" w:rsidRDefault="00B675D2" w:rsidP="00B675D2">
      <w:pPr>
        <w:rPr>
          <w:b/>
          <w:bCs/>
        </w:rPr>
      </w:pPr>
      <w:r w:rsidRPr="00B675D2">
        <w:rPr>
          <w:b/>
          <w:bCs/>
        </w:rPr>
        <w:t>Introduction</w:t>
      </w:r>
    </w:p>
    <w:p w14:paraId="2EF1F0AD" w14:textId="35BDA3EC" w:rsidR="00B675D2" w:rsidRPr="00B675D2" w:rsidRDefault="00B675D2" w:rsidP="00B675D2">
      <w:r w:rsidRPr="00B675D2">
        <w:t>The Comprehensive Plan is Bloomington’s guiding policy document, designed to shape land use, infrastructure, housing, transportation, economic development, and environmental stewardship for the next decades. This 202</w:t>
      </w:r>
      <w:r w:rsidR="00134C14">
        <w:t>6</w:t>
      </w:r>
      <w:r w:rsidRPr="00B675D2">
        <w:t xml:space="preserve"> update builds upon the 2014 Bloomington Comprehensive Plan, integrating evidence-driven strategies, recent best practices, and input from the community. It reflects a dynamic vision for Bloomington—one that supports rural heritage while proactively managing change, preserving quality of life, and ensuring economic, environmental, and social resilience.</w:t>
      </w:r>
    </w:p>
    <w:p w14:paraId="12AADE1D" w14:textId="0A97FBCF" w:rsidR="00B675D2" w:rsidRPr="00B675D2" w:rsidRDefault="00B675D2" w:rsidP="00B675D2">
      <w:r w:rsidRPr="00B675D2">
        <w:t>This report distills lessons from authoritative sources on Idaho rural planning, nationwide model plans, and key federal and state standards for comprehensive planning. Each section details past context, current policy recommendations, actionable implementation steps, and evaluation mechanisms, with tables summarizing objectives and timelines as reference points for all stakeholders.</w:t>
      </w:r>
    </w:p>
    <w:p w14:paraId="4017BA07" w14:textId="77777777" w:rsidR="00B675D2" w:rsidRPr="00B675D2" w:rsidRDefault="00000000" w:rsidP="00B675D2">
      <w:r>
        <w:rPr>
          <w:noProof/>
        </w:rPr>
        <w:pict w14:anchorId="2C2BE23A">
          <v:rect id="_x0000_i1026" style="width:0;height:1.5pt" o:hralign="center" o:hrstd="t" o:hr="t" fillcolor="#a0a0a0" stroked="f"/>
        </w:pict>
      </w:r>
    </w:p>
    <w:p w14:paraId="694880EC" w14:textId="77777777" w:rsidR="00B675D2" w:rsidRPr="00B675D2" w:rsidRDefault="00B675D2" w:rsidP="00B675D2">
      <w:pPr>
        <w:rPr>
          <w:b/>
          <w:bCs/>
        </w:rPr>
      </w:pPr>
      <w:r w:rsidRPr="00B675D2">
        <w:rPr>
          <w:b/>
          <w:bCs/>
        </w:rPr>
        <w:t>Historical Context: 2014 Bloomington Comprehensive Plan</w:t>
      </w:r>
    </w:p>
    <w:p w14:paraId="1D86CA88" w14:textId="2B86DDDE" w:rsidR="00B675D2" w:rsidRPr="00B675D2" w:rsidRDefault="00B675D2" w:rsidP="00B675D2">
      <w:r w:rsidRPr="00B675D2">
        <w:t xml:space="preserve">Bloomington’s 2014 Comprehensive Plan marked a significant commitment to local planning, emphasizing agricultural preservation, managed growth, basic service delivery, and community character preservation. The plan’s success lay in using broad principles—such as promoting family farming and low-density development—as anchors for policy in a rapidly changing landscape. However, the Plan also acknowledged structural challenges typical of rural Intermountain West communities: population stagnation, limited economic diversification, basic infrastructure needs, and the pressures of outside land speculation. The City’s governance since 2014 reflects both continuity and adaptation. Efforts such as updating subdivision regulations and applying for infrastructure grants have preserved Bloomington’s rural appeal, but shifting demographics, </w:t>
      </w:r>
      <w:r w:rsidR="00B527C1">
        <w:t xml:space="preserve">tourism expansion </w:t>
      </w:r>
      <w:r w:rsidR="00B5737B">
        <w:t xml:space="preserve">to the south, </w:t>
      </w:r>
      <w:r w:rsidRPr="00B675D2">
        <w:t>housing cost pressures, and regional economic trends now necessitate a comprehensive policy refresh.</w:t>
      </w:r>
    </w:p>
    <w:p w14:paraId="5714935B" w14:textId="1DF797C8" w:rsidR="00B675D2" w:rsidRPr="00B675D2" w:rsidRDefault="00B675D2" w:rsidP="00B675D2">
      <w:r w:rsidRPr="00B675D2">
        <w:t>The 202</w:t>
      </w:r>
      <w:r w:rsidR="008D5703">
        <w:t>6</w:t>
      </w:r>
      <w:r w:rsidRPr="00B675D2">
        <w:t xml:space="preserve"> update takes stock of past advances, acknowledges enduring values, and introduces forward-looking solutions for the next generation of Bloomington residents. </w:t>
      </w:r>
    </w:p>
    <w:p w14:paraId="4B65DCA1" w14:textId="77777777" w:rsidR="00B675D2" w:rsidRPr="00B675D2" w:rsidRDefault="00000000" w:rsidP="00B675D2">
      <w:r>
        <w:rPr>
          <w:noProof/>
        </w:rPr>
        <w:pict w14:anchorId="2A9292DB">
          <v:rect id="_x0000_i1027" style="width:0;height:1.5pt" o:hralign="center" o:hrstd="t" o:hr="t" fillcolor="#a0a0a0" stroked="f"/>
        </w:pict>
      </w:r>
    </w:p>
    <w:p w14:paraId="39898592" w14:textId="77777777" w:rsidR="00BA3AB6" w:rsidRDefault="00BA3AB6" w:rsidP="00B675D2">
      <w:pPr>
        <w:rPr>
          <w:b/>
          <w:bCs/>
        </w:rPr>
      </w:pPr>
    </w:p>
    <w:p w14:paraId="0C33D831" w14:textId="77777777" w:rsidR="00BA3AB6" w:rsidRDefault="00BA3AB6" w:rsidP="00B675D2">
      <w:pPr>
        <w:rPr>
          <w:b/>
          <w:bCs/>
        </w:rPr>
      </w:pPr>
    </w:p>
    <w:p w14:paraId="32C2B645" w14:textId="6BD602BC" w:rsidR="00B675D2" w:rsidRPr="00B675D2" w:rsidRDefault="00B675D2" w:rsidP="00B675D2">
      <w:pPr>
        <w:rPr>
          <w:b/>
          <w:bCs/>
        </w:rPr>
      </w:pPr>
      <w:r w:rsidRPr="00B675D2">
        <w:rPr>
          <w:b/>
          <w:bCs/>
        </w:rPr>
        <w:lastRenderedPageBreak/>
        <w:t>Vision, Goals, and Planning Principles</w:t>
      </w:r>
    </w:p>
    <w:p w14:paraId="4B5EB8C6" w14:textId="2409612A" w:rsidR="00C768A2" w:rsidRDefault="001A7385" w:rsidP="00B675D2">
      <w:r>
        <w:t xml:space="preserve">The following is the City Vision Statement adopted and approved by the City Council.  This is the framework for </w:t>
      </w:r>
      <w:r w:rsidR="008D5703">
        <w:t>Comprehensive</w:t>
      </w:r>
      <w:r w:rsidR="00C768A2">
        <w:t xml:space="preserve"> Plan update.  </w:t>
      </w:r>
    </w:p>
    <w:p w14:paraId="43805E1D" w14:textId="77777777" w:rsidR="00A52600" w:rsidRDefault="00A52600" w:rsidP="00B675D2"/>
    <w:p w14:paraId="2DF59034" w14:textId="7CE2C4EA" w:rsidR="00C768A2" w:rsidRPr="00C768A2" w:rsidRDefault="00C768A2" w:rsidP="00C768A2">
      <w:pPr>
        <w:jc w:val="center"/>
        <w:rPr>
          <w:b/>
          <w:bCs/>
        </w:rPr>
      </w:pPr>
      <w:r w:rsidRPr="00C768A2">
        <w:rPr>
          <w:b/>
          <w:bCs/>
        </w:rPr>
        <w:t>City of Bloomington Vision Statement</w:t>
      </w:r>
    </w:p>
    <w:p w14:paraId="620B33D2" w14:textId="0BE36710" w:rsidR="00036AE2" w:rsidRPr="00C768A2" w:rsidRDefault="00B10C40" w:rsidP="00B675D2">
      <w:pPr>
        <w:rPr>
          <w:i/>
          <w:iCs/>
        </w:rPr>
      </w:pPr>
      <w:r w:rsidRPr="00C768A2">
        <w:rPr>
          <w:i/>
          <w:iCs/>
        </w:rPr>
        <w:t xml:space="preserve">The City of Bloomington is an oasis of </w:t>
      </w:r>
      <w:r w:rsidR="001A7385" w:rsidRPr="00C768A2">
        <w:rPr>
          <w:i/>
          <w:iCs/>
        </w:rPr>
        <w:t>small-town</w:t>
      </w:r>
      <w:r w:rsidRPr="00C768A2">
        <w:rPr>
          <w:i/>
          <w:iCs/>
        </w:rPr>
        <w:t xml:space="preserve"> wholesome living.  As a city and community our vision is to preserve the unique character and aesthetic we now have while actively seeking to create a community where: </w:t>
      </w:r>
    </w:p>
    <w:p w14:paraId="12E5070C" w14:textId="4D908A1D" w:rsidR="00B10C40" w:rsidRPr="00C768A2" w:rsidRDefault="00B10C40" w:rsidP="00B10C40">
      <w:pPr>
        <w:pStyle w:val="ListParagraph"/>
        <w:numPr>
          <w:ilvl w:val="0"/>
          <w:numId w:val="28"/>
        </w:numPr>
        <w:rPr>
          <w:i/>
          <w:iCs/>
        </w:rPr>
      </w:pPr>
      <w:r w:rsidRPr="00C768A2">
        <w:rPr>
          <w:i/>
          <w:iCs/>
        </w:rPr>
        <w:t>Single-family dwellings are the primary use of developed land.</w:t>
      </w:r>
    </w:p>
    <w:p w14:paraId="1163CA32" w14:textId="3026E42B" w:rsidR="00B10C40" w:rsidRPr="00C768A2" w:rsidRDefault="00B10C40" w:rsidP="00B10C40">
      <w:pPr>
        <w:pStyle w:val="ListParagraph"/>
        <w:numPr>
          <w:ilvl w:val="0"/>
          <w:numId w:val="28"/>
        </w:numPr>
        <w:rPr>
          <w:i/>
          <w:iCs/>
        </w:rPr>
      </w:pPr>
      <w:r w:rsidRPr="00C768A2">
        <w:rPr>
          <w:i/>
          <w:iCs/>
        </w:rPr>
        <w:t xml:space="preserve">Agriculture is a prominent part of the aesthetic. Agriculture uses and enterprises are protected and encouraged. </w:t>
      </w:r>
    </w:p>
    <w:p w14:paraId="6DB593D5" w14:textId="4966A029" w:rsidR="00B10C40" w:rsidRPr="00C768A2" w:rsidRDefault="00B10C40" w:rsidP="00B10C40">
      <w:pPr>
        <w:pStyle w:val="ListParagraph"/>
        <w:numPr>
          <w:ilvl w:val="0"/>
          <w:numId w:val="28"/>
        </w:numPr>
        <w:rPr>
          <w:i/>
          <w:iCs/>
        </w:rPr>
      </w:pPr>
      <w:r w:rsidRPr="00C768A2">
        <w:rPr>
          <w:i/>
          <w:iCs/>
        </w:rPr>
        <w:t>City infrastructure: water, sewer, and roads are reliable, well-maintained and adequ</w:t>
      </w:r>
      <w:r w:rsidR="00A9616F" w:rsidRPr="00C768A2">
        <w:rPr>
          <w:i/>
          <w:iCs/>
        </w:rPr>
        <w:t xml:space="preserve">ately funded. </w:t>
      </w:r>
    </w:p>
    <w:p w14:paraId="098517D1" w14:textId="3A97E415" w:rsidR="00A9616F" w:rsidRPr="00C768A2" w:rsidRDefault="00A9616F" w:rsidP="00B10C40">
      <w:pPr>
        <w:pStyle w:val="ListParagraph"/>
        <w:numPr>
          <w:ilvl w:val="0"/>
          <w:numId w:val="28"/>
        </w:numPr>
        <w:rPr>
          <w:i/>
          <w:iCs/>
        </w:rPr>
      </w:pPr>
      <w:r w:rsidRPr="00C768A2">
        <w:rPr>
          <w:i/>
          <w:iCs/>
        </w:rPr>
        <w:t>Population density is low.</w:t>
      </w:r>
    </w:p>
    <w:p w14:paraId="117547B9" w14:textId="406E1A7B" w:rsidR="00A9616F" w:rsidRPr="00C768A2" w:rsidRDefault="00A9616F" w:rsidP="00B10C40">
      <w:pPr>
        <w:pStyle w:val="ListParagraph"/>
        <w:numPr>
          <w:ilvl w:val="0"/>
          <w:numId w:val="28"/>
        </w:numPr>
        <w:rPr>
          <w:i/>
          <w:iCs/>
        </w:rPr>
      </w:pPr>
      <w:r w:rsidRPr="00C768A2">
        <w:rPr>
          <w:i/>
          <w:iCs/>
        </w:rPr>
        <w:t xml:space="preserve">Personal property rights are respected and protected.  </w:t>
      </w:r>
    </w:p>
    <w:p w14:paraId="64D3AE19" w14:textId="77777777" w:rsidR="00A52600" w:rsidRDefault="00A52600" w:rsidP="00B675D2"/>
    <w:p w14:paraId="72D74264" w14:textId="2EA7577A" w:rsidR="00B675D2" w:rsidRPr="00B675D2" w:rsidRDefault="00B675D2" w:rsidP="00B675D2">
      <w:r w:rsidRPr="00B675D2">
        <w:t xml:space="preserve">Building from the </w:t>
      </w:r>
      <w:r w:rsidR="00777CAE">
        <w:t>City V</w:t>
      </w:r>
      <w:r w:rsidRPr="00B675D2">
        <w:t>ision</w:t>
      </w:r>
      <w:r w:rsidR="00777CAE">
        <w:t xml:space="preserve"> Statement</w:t>
      </w:r>
      <w:r w:rsidRPr="00B675D2">
        <w:t>,</w:t>
      </w:r>
      <w:r w:rsidR="00777CAE">
        <w:t xml:space="preserve"> and the 2014 update to the Comprehensive </w:t>
      </w:r>
      <w:r w:rsidR="00BA3AB6">
        <w:t xml:space="preserve">Plan, this </w:t>
      </w:r>
      <w:r w:rsidRPr="00B675D2">
        <w:t>updated Comprehensive Plan adopts the following overarching goals:</w:t>
      </w:r>
    </w:p>
    <w:p w14:paraId="471AE18D" w14:textId="560998F4" w:rsidR="00B675D2" w:rsidRPr="00B675D2" w:rsidRDefault="00B675D2" w:rsidP="00B675D2">
      <w:pPr>
        <w:numPr>
          <w:ilvl w:val="0"/>
          <w:numId w:val="18"/>
        </w:numPr>
      </w:pPr>
      <w:r w:rsidRPr="00B675D2">
        <w:rPr>
          <w:b/>
          <w:bCs/>
        </w:rPr>
        <w:t xml:space="preserve">Preserve Bloomington’s rural </w:t>
      </w:r>
      <w:r w:rsidR="007373CA">
        <w:rPr>
          <w:b/>
          <w:bCs/>
        </w:rPr>
        <w:t xml:space="preserve">agrarian </w:t>
      </w:r>
      <w:r w:rsidRPr="00B675D2">
        <w:rPr>
          <w:b/>
          <w:bCs/>
        </w:rPr>
        <w:t>character</w:t>
      </w:r>
    </w:p>
    <w:p w14:paraId="6D4BB55D" w14:textId="77777777" w:rsidR="00B675D2" w:rsidRPr="00B675D2" w:rsidRDefault="00B675D2" w:rsidP="00B675D2">
      <w:pPr>
        <w:numPr>
          <w:ilvl w:val="0"/>
          <w:numId w:val="18"/>
        </w:numPr>
      </w:pPr>
      <w:r w:rsidRPr="00B675D2">
        <w:rPr>
          <w:b/>
          <w:bCs/>
        </w:rPr>
        <w:t>Support sustainable economic development</w:t>
      </w:r>
    </w:p>
    <w:p w14:paraId="0C799425" w14:textId="5041FCE9" w:rsidR="00B675D2" w:rsidRPr="00B675D2" w:rsidRDefault="00B675D2" w:rsidP="00B675D2">
      <w:pPr>
        <w:numPr>
          <w:ilvl w:val="0"/>
          <w:numId w:val="18"/>
        </w:numPr>
      </w:pPr>
      <w:r w:rsidRPr="00B675D2">
        <w:rPr>
          <w:b/>
          <w:bCs/>
        </w:rPr>
        <w:t xml:space="preserve">Promote quality, </w:t>
      </w:r>
      <w:r w:rsidR="00D90490">
        <w:rPr>
          <w:b/>
          <w:bCs/>
        </w:rPr>
        <w:t>low-density</w:t>
      </w:r>
      <w:r w:rsidR="001157E0" w:rsidRPr="00B675D2">
        <w:rPr>
          <w:b/>
          <w:bCs/>
        </w:rPr>
        <w:t xml:space="preserve"> </w:t>
      </w:r>
      <w:r w:rsidRPr="00B675D2">
        <w:rPr>
          <w:b/>
          <w:bCs/>
        </w:rPr>
        <w:t>housing for all residents</w:t>
      </w:r>
    </w:p>
    <w:p w14:paraId="2F34FD86" w14:textId="77777777" w:rsidR="00B675D2" w:rsidRPr="00B675D2" w:rsidRDefault="00B675D2" w:rsidP="00B675D2">
      <w:pPr>
        <w:numPr>
          <w:ilvl w:val="0"/>
          <w:numId w:val="18"/>
        </w:numPr>
      </w:pPr>
      <w:r w:rsidRPr="00B675D2">
        <w:rPr>
          <w:b/>
          <w:bCs/>
        </w:rPr>
        <w:t>Enhance transportation safety and accessibility</w:t>
      </w:r>
    </w:p>
    <w:p w14:paraId="1EEECC5B" w14:textId="77777777" w:rsidR="00B675D2" w:rsidRPr="00B675D2" w:rsidRDefault="00B675D2" w:rsidP="00B675D2">
      <w:pPr>
        <w:numPr>
          <w:ilvl w:val="0"/>
          <w:numId w:val="18"/>
        </w:numPr>
      </w:pPr>
      <w:r w:rsidRPr="00B675D2">
        <w:rPr>
          <w:b/>
          <w:bCs/>
        </w:rPr>
        <w:t>Ensure resilient, modern infrastructure</w:t>
      </w:r>
    </w:p>
    <w:p w14:paraId="4A228E42" w14:textId="77777777" w:rsidR="00B675D2" w:rsidRPr="00B675D2" w:rsidRDefault="00B675D2" w:rsidP="00B675D2">
      <w:pPr>
        <w:numPr>
          <w:ilvl w:val="0"/>
          <w:numId w:val="18"/>
        </w:numPr>
      </w:pPr>
      <w:r w:rsidRPr="00B675D2">
        <w:rPr>
          <w:b/>
          <w:bCs/>
        </w:rPr>
        <w:t>Steward the natural environment and resources</w:t>
      </w:r>
    </w:p>
    <w:p w14:paraId="2AB85398" w14:textId="77777777" w:rsidR="00B675D2" w:rsidRPr="00FC6097" w:rsidRDefault="00B675D2" w:rsidP="00B675D2">
      <w:pPr>
        <w:numPr>
          <w:ilvl w:val="0"/>
          <w:numId w:val="18"/>
        </w:numPr>
      </w:pPr>
      <w:r w:rsidRPr="00B675D2">
        <w:rPr>
          <w:b/>
          <w:bCs/>
        </w:rPr>
        <w:t>Foster robust community engagement in civic processes</w:t>
      </w:r>
    </w:p>
    <w:p w14:paraId="433EB20E" w14:textId="77777777" w:rsidR="00FC6097" w:rsidRPr="00B675D2" w:rsidRDefault="00FC6097" w:rsidP="00FC6097">
      <w:pPr>
        <w:ind w:left="720"/>
      </w:pPr>
    </w:p>
    <w:p w14:paraId="498B6B4D" w14:textId="77777777" w:rsidR="00B675D2" w:rsidRPr="00B675D2" w:rsidRDefault="00000000" w:rsidP="00B675D2">
      <w:r>
        <w:rPr>
          <w:noProof/>
        </w:rPr>
        <w:pict w14:anchorId="50B7D576">
          <v:rect id="_x0000_i1028" style="width:0;height:1.5pt" o:hralign="center" o:hrstd="t" o:hr="t" fillcolor="#a0a0a0" stroked="f"/>
        </w:pict>
      </w:r>
    </w:p>
    <w:p w14:paraId="139B1960" w14:textId="77777777" w:rsidR="00FC6097" w:rsidRDefault="00FC6097" w:rsidP="00B675D2">
      <w:pPr>
        <w:rPr>
          <w:b/>
          <w:bCs/>
        </w:rPr>
      </w:pPr>
    </w:p>
    <w:p w14:paraId="073184B5" w14:textId="77777777" w:rsidR="00FC6097" w:rsidRDefault="00FC6097" w:rsidP="00B675D2">
      <w:pPr>
        <w:rPr>
          <w:b/>
          <w:bCs/>
        </w:rPr>
      </w:pPr>
    </w:p>
    <w:p w14:paraId="04A0363A" w14:textId="11BCBF37" w:rsidR="00B675D2" w:rsidRPr="00B675D2" w:rsidRDefault="00B675D2" w:rsidP="00B675D2">
      <w:pPr>
        <w:rPr>
          <w:b/>
          <w:bCs/>
        </w:rPr>
      </w:pPr>
      <w:r w:rsidRPr="00B675D2">
        <w:rPr>
          <w:b/>
          <w:bCs/>
        </w:rPr>
        <w:lastRenderedPageBreak/>
        <w:t>Land Use: Best Practices and Future Policy Directions</w:t>
      </w:r>
    </w:p>
    <w:p w14:paraId="114D0CF7" w14:textId="77777777" w:rsidR="00B675D2" w:rsidRPr="00B675D2" w:rsidRDefault="00B675D2" w:rsidP="00B675D2">
      <w:pPr>
        <w:rPr>
          <w:b/>
          <w:bCs/>
        </w:rPr>
      </w:pPr>
      <w:r w:rsidRPr="00B675D2">
        <w:rPr>
          <w:b/>
          <w:bCs/>
        </w:rPr>
        <w:t>1. Land Use Planning in Rural Contexts</w:t>
      </w:r>
    </w:p>
    <w:p w14:paraId="53F7148E" w14:textId="5D649545" w:rsidR="00B675D2" w:rsidRPr="00B675D2" w:rsidRDefault="00B675D2" w:rsidP="00B675D2">
      <w:r w:rsidRPr="00B675D2">
        <w:t xml:space="preserve">Land use remains the core of any comprehensive plan, especially for rural Idaho communities. Consistent with the 2014 Plan's emphasis on agricultural protection, this update adopts strategies to guard against </w:t>
      </w:r>
      <w:r w:rsidR="00F540B6">
        <w:t xml:space="preserve">high density housing, </w:t>
      </w:r>
      <w:r w:rsidRPr="00B675D2">
        <w:t>sprawl, conserve prime farmland, and manage growth at a scale compatible with local values.</w:t>
      </w:r>
    </w:p>
    <w:p w14:paraId="48DC6799" w14:textId="77777777" w:rsidR="00B675D2" w:rsidRPr="00B675D2" w:rsidRDefault="00B675D2" w:rsidP="00B675D2">
      <w:r w:rsidRPr="00B675D2">
        <w:t>The rural planning literature highlights that the most successful approaches in Idaho blend several key tools:</w:t>
      </w:r>
    </w:p>
    <w:p w14:paraId="4A7F3485" w14:textId="77777777" w:rsidR="00B675D2" w:rsidRPr="00B675D2" w:rsidRDefault="00B675D2" w:rsidP="00B675D2">
      <w:pPr>
        <w:numPr>
          <w:ilvl w:val="0"/>
          <w:numId w:val="19"/>
        </w:numPr>
      </w:pPr>
      <w:r w:rsidRPr="00B675D2">
        <w:rPr>
          <w:b/>
          <w:bCs/>
        </w:rPr>
        <w:t>Conservation zoning and large-lot minimums</w:t>
      </w:r>
      <w:r w:rsidRPr="00B675D2">
        <w:t xml:space="preserve"> to deter inappropriate subdivisions</w:t>
      </w:r>
    </w:p>
    <w:p w14:paraId="0D0EA74A" w14:textId="537F02ED" w:rsidR="00B675D2" w:rsidRPr="00B675D2" w:rsidRDefault="00415C12" w:rsidP="00B675D2">
      <w:pPr>
        <w:numPr>
          <w:ilvl w:val="0"/>
          <w:numId w:val="19"/>
        </w:numPr>
      </w:pPr>
      <w:r>
        <w:rPr>
          <w:b/>
          <w:bCs/>
        </w:rPr>
        <w:t>D</w:t>
      </w:r>
      <w:r w:rsidR="00B675D2" w:rsidRPr="00B675D2">
        <w:rPr>
          <w:b/>
          <w:bCs/>
        </w:rPr>
        <w:t>evelopment options</w:t>
      </w:r>
      <w:r w:rsidR="00B675D2" w:rsidRPr="00B675D2">
        <w:t xml:space="preserve"> to preserve open space</w:t>
      </w:r>
    </w:p>
    <w:p w14:paraId="256A5D64" w14:textId="77777777" w:rsidR="00B675D2" w:rsidRPr="00B675D2" w:rsidRDefault="00B675D2" w:rsidP="00B675D2">
      <w:pPr>
        <w:numPr>
          <w:ilvl w:val="0"/>
          <w:numId w:val="19"/>
        </w:numPr>
      </w:pPr>
      <w:r w:rsidRPr="00B675D2">
        <w:rPr>
          <w:b/>
          <w:bCs/>
        </w:rPr>
        <w:t>Clear, up-to-date land use maps</w:t>
      </w:r>
      <w:r w:rsidRPr="00B675D2">
        <w:t xml:space="preserve"> and regular zoning code review</w:t>
      </w:r>
    </w:p>
    <w:p w14:paraId="7C8D7B33" w14:textId="77777777" w:rsidR="00B675D2" w:rsidRPr="00B675D2" w:rsidRDefault="00B675D2" w:rsidP="00B675D2">
      <w:r w:rsidRPr="00B675D2">
        <w:t>These strategies maintain community character while meeting state land-use planning requirements and functional needs for housing and economic flexibility.</w:t>
      </w:r>
    </w:p>
    <w:p w14:paraId="5ABC445E" w14:textId="77777777" w:rsidR="00B675D2" w:rsidRPr="00B675D2" w:rsidRDefault="00B675D2" w:rsidP="00B675D2">
      <w:pPr>
        <w:rPr>
          <w:b/>
          <w:bCs/>
        </w:rPr>
      </w:pPr>
      <w:r w:rsidRPr="00B675D2">
        <w:rPr>
          <w:b/>
          <w:bCs/>
        </w:rPr>
        <w:t>2. Proposed Land Use Policy Objectives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7"/>
        <w:gridCol w:w="3931"/>
        <w:gridCol w:w="2406"/>
        <w:gridCol w:w="1056"/>
      </w:tblGrid>
      <w:tr w:rsidR="00FD6265" w:rsidRPr="00B675D2" w14:paraId="22ADC7EB" w14:textId="77777777">
        <w:trPr>
          <w:tblHeader/>
          <w:tblCellSpacing w:w="15" w:type="dxa"/>
        </w:trPr>
        <w:tc>
          <w:tcPr>
            <w:tcW w:w="0" w:type="auto"/>
            <w:vAlign w:val="center"/>
            <w:hideMark/>
          </w:tcPr>
          <w:p w14:paraId="0397B945" w14:textId="77777777" w:rsidR="00B675D2" w:rsidRPr="00B675D2" w:rsidRDefault="00B675D2" w:rsidP="00B675D2">
            <w:pPr>
              <w:rPr>
                <w:b/>
                <w:bCs/>
              </w:rPr>
            </w:pPr>
            <w:r w:rsidRPr="00B675D2">
              <w:rPr>
                <w:b/>
                <w:bCs/>
              </w:rPr>
              <w:t>Objective</w:t>
            </w:r>
          </w:p>
        </w:tc>
        <w:tc>
          <w:tcPr>
            <w:tcW w:w="0" w:type="auto"/>
            <w:vAlign w:val="center"/>
            <w:hideMark/>
          </w:tcPr>
          <w:p w14:paraId="6EAB4DDA" w14:textId="77777777" w:rsidR="00B675D2" w:rsidRPr="00B675D2" w:rsidRDefault="00B675D2" w:rsidP="00B675D2">
            <w:pPr>
              <w:rPr>
                <w:b/>
                <w:bCs/>
              </w:rPr>
            </w:pPr>
            <w:r w:rsidRPr="00B675D2">
              <w:rPr>
                <w:b/>
                <w:bCs/>
              </w:rPr>
              <w:t>Strategy</w:t>
            </w:r>
          </w:p>
        </w:tc>
        <w:tc>
          <w:tcPr>
            <w:tcW w:w="0" w:type="auto"/>
            <w:vAlign w:val="center"/>
            <w:hideMark/>
          </w:tcPr>
          <w:p w14:paraId="3CD69078" w14:textId="77777777" w:rsidR="00B675D2" w:rsidRPr="00B675D2" w:rsidRDefault="00B675D2" w:rsidP="00B675D2">
            <w:pPr>
              <w:rPr>
                <w:b/>
                <w:bCs/>
              </w:rPr>
            </w:pPr>
            <w:r w:rsidRPr="00B675D2">
              <w:rPr>
                <w:b/>
                <w:bCs/>
              </w:rPr>
              <w:t>Responsible Party</w:t>
            </w:r>
          </w:p>
        </w:tc>
        <w:tc>
          <w:tcPr>
            <w:tcW w:w="0" w:type="auto"/>
            <w:vAlign w:val="center"/>
            <w:hideMark/>
          </w:tcPr>
          <w:p w14:paraId="0E711135" w14:textId="77777777" w:rsidR="00B675D2" w:rsidRPr="00B675D2" w:rsidRDefault="00B675D2" w:rsidP="00B675D2">
            <w:pPr>
              <w:rPr>
                <w:b/>
                <w:bCs/>
              </w:rPr>
            </w:pPr>
            <w:r w:rsidRPr="00B675D2">
              <w:rPr>
                <w:b/>
                <w:bCs/>
              </w:rPr>
              <w:t>Timeline</w:t>
            </w:r>
          </w:p>
        </w:tc>
      </w:tr>
      <w:tr w:rsidR="00FD6265" w:rsidRPr="00B675D2" w14:paraId="769F0A29" w14:textId="77777777">
        <w:trPr>
          <w:tblCellSpacing w:w="15" w:type="dxa"/>
        </w:trPr>
        <w:tc>
          <w:tcPr>
            <w:tcW w:w="0" w:type="auto"/>
            <w:vAlign w:val="center"/>
            <w:hideMark/>
          </w:tcPr>
          <w:p w14:paraId="7FDB358B" w14:textId="77777777" w:rsidR="00B675D2" w:rsidRPr="00B675D2" w:rsidRDefault="00B675D2" w:rsidP="00B675D2">
            <w:r w:rsidRPr="00B675D2">
              <w:t>Preserve Agricultural Land</w:t>
            </w:r>
          </w:p>
        </w:tc>
        <w:tc>
          <w:tcPr>
            <w:tcW w:w="0" w:type="auto"/>
            <w:vAlign w:val="center"/>
            <w:hideMark/>
          </w:tcPr>
          <w:p w14:paraId="17A21806" w14:textId="1976B2C1" w:rsidR="00B675D2" w:rsidRPr="00B675D2" w:rsidRDefault="00F277F4" w:rsidP="00B675D2">
            <w:r>
              <w:t>Develop and m</w:t>
            </w:r>
            <w:r w:rsidR="00B675D2" w:rsidRPr="00B675D2">
              <w:t>aintain large-lot zoning</w:t>
            </w:r>
            <w:r>
              <w:t xml:space="preserve"> standards</w:t>
            </w:r>
          </w:p>
        </w:tc>
        <w:tc>
          <w:tcPr>
            <w:tcW w:w="0" w:type="auto"/>
            <w:vAlign w:val="center"/>
            <w:hideMark/>
          </w:tcPr>
          <w:p w14:paraId="408061D7" w14:textId="7BBEE541" w:rsidR="00B675D2" w:rsidRPr="00B675D2" w:rsidRDefault="00E36378" w:rsidP="00B675D2">
            <w:r>
              <w:t xml:space="preserve">Building and </w:t>
            </w:r>
            <w:r w:rsidR="007D6C5A">
              <w:t>Development</w:t>
            </w:r>
            <w:r>
              <w:t xml:space="preserve"> Committee</w:t>
            </w:r>
          </w:p>
        </w:tc>
        <w:tc>
          <w:tcPr>
            <w:tcW w:w="0" w:type="auto"/>
            <w:vAlign w:val="center"/>
            <w:hideMark/>
          </w:tcPr>
          <w:p w14:paraId="18364FC5" w14:textId="77777777" w:rsidR="00B675D2" w:rsidRPr="00B675D2" w:rsidRDefault="00B675D2" w:rsidP="00B675D2">
            <w:r w:rsidRPr="00B675D2">
              <w:t>2026</w:t>
            </w:r>
          </w:p>
        </w:tc>
      </w:tr>
      <w:tr w:rsidR="003A130A" w:rsidRPr="00B675D2" w14:paraId="6F7EC52A" w14:textId="77777777">
        <w:trPr>
          <w:tblCellSpacing w:w="15" w:type="dxa"/>
        </w:trPr>
        <w:tc>
          <w:tcPr>
            <w:tcW w:w="0" w:type="auto"/>
            <w:vAlign w:val="center"/>
          </w:tcPr>
          <w:p w14:paraId="5F3A54C7" w14:textId="72F33090" w:rsidR="003A130A" w:rsidRPr="00B675D2" w:rsidRDefault="003A1494" w:rsidP="00B675D2">
            <w:r w:rsidRPr="00B675D2">
              <w:t>Preserve Agricultural Land</w:t>
            </w:r>
          </w:p>
        </w:tc>
        <w:tc>
          <w:tcPr>
            <w:tcW w:w="0" w:type="auto"/>
            <w:vAlign w:val="center"/>
          </w:tcPr>
          <w:p w14:paraId="5BD32D82" w14:textId="4B366B87" w:rsidR="003A130A" w:rsidRPr="00B675D2" w:rsidRDefault="000E1FBC" w:rsidP="00B675D2">
            <w:r>
              <w:t xml:space="preserve">Research </w:t>
            </w:r>
            <w:r w:rsidRPr="00B675D2">
              <w:t>conservation easements</w:t>
            </w:r>
          </w:p>
        </w:tc>
        <w:tc>
          <w:tcPr>
            <w:tcW w:w="0" w:type="auto"/>
            <w:vAlign w:val="center"/>
          </w:tcPr>
          <w:p w14:paraId="4F85BE8D" w14:textId="7C46BFF4" w:rsidR="003A130A" w:rsidRDefault="00972984" w:rsidP="00B675D2">
            <w:r>
              <w:t>Building and Development Committee</w:t>
            </w:r>
          </w:p>
        </w:tc>
        <w:tc>
          <w:tcPr>
            <w:tcW w:w="0" w:type="auto"/>
            <w:vAlign w:val="center"/>
          </w:tcPr>
          <w:p w14:paraId="58EBF765" w14:textId="14BD5992" w:rsidR="003A130A" w:rsidRPr="00B675D2" w:rsidRDefault="00972984" w:rsidP="00B675D2">
            <w:r>
              <w:t>2026</w:t>
            </w:r>
          </w:p>
        </w:tc>
      </w:tr>
      <w:tr w:rsidR="00FD6265" w:rsidRPr="00B675D2" w14:paraId="4EE39F94" w14:textId="77777777">
        <w:trPr>
          <w:tblCellSpacing w:w="15" w:type="dxa"/>
        </w:trPr>
        <w:tc>
          <w:tcPr>
            <w:tcW w:w="0" w:type="auto"/>
            <w:vAlign w:val="center"/>
            <w:hideMark/>
          </w:tcPr>
          <w:p w14:paraId="4E55BFAE" w14:textId="77777777" w:rsidR="00B675D2" w:rsidRPr="00B675D2" w:rsidRDefault="00B675D2" w:rsidP="00B675D2">
            <w:r w:rsidRPr="00B675D2">
              <w:t>Guide New Development</w:t>
            </w:r>
          </w:p>
        </w:tc>
        <w:tc>
          <w:tcPr>
            <w:tcW w:w="0" w:type="auto"/>
            <w:vAlign w:val="center"/>
            <w:hideMark/>
          </w:tcPr>
          <w:p w14:paraId="4AA7488F" w14:textId="77777777" w:rsidR="00B675D2" w:rsidRPr="00B675D2" w:rsidRDefault="00B675D2" w:rsidP="00B675D2">
            <w:r w:rsidRPr="00B675D2">
              <w:t>Update Future Land Use Map; update site plan review process</w:t>
            </w:r>
          </w:p>
        </w:tc>
        <w:tc>
          <w:tcPr>
            <w:tcW w:w="0" w:type="auto"/>
            <w:vAlign w:val="center"/>
            <w:hideMark/>
          </w:tcPr>
          <w:p w14:paraId="0E976155" w14:textId="656DDC4E" w:rsidR="00B675D2" w:rsidRPr="00B675D2" w:rsidRDefault="00B675D2" w:rsidP="00B675D2">
            <w:r w:rsidRPr="00B675D2">
              <w:t xml:space="preserve">City Council, </w:t>
            </w:r>
            <w:r w:rsidR="007D6C5A">
              <w:t>Building and Development Committee</w:t>
            </w:r>
          </w:p>
        </w:tc>
        <w:tc>
          <w:tcPr>
            <w:tcW w:w="0" w:type="auto"/>
            <w:vAlign w:val="center"/>
            <w:hideMark/>
          </w:tcPr>
          <w:p w14:paraId="607DA303" w14:textId="77777777" w:rsidR="00B675D2" w:rsidRPr="00B675D2" w:rsidRDefault="00B675D2" w:rsidP="00B675D2">
            <w:r w:rsidRPr="00B675D2">
              <w:t>2026-2027</w:t>
            </w:r>
          </w:p>
        </w:tc>
      </w:tr>
      <w:tr w:rsidR="00FD6265" w:rsidRPr="00B675D2" w14:paraId="700A50D1" w14:textId="77777777">
        <w:trPr>
          <w:tblCellSpacing w:w="15" w:type="dxa"/>
        </w:trPr>
        <w:tc>
          <w:tcPr>
            <w:tcW w:w="0" w:type="auto"/>
            <w:vAlign w:val="center"/>
            <w:hideMark/>
          </w:tcPr>
          <w:p w14:paraId="0D6DC36A" w14:textId="42A9998B" w:rsidR="00B675D2" w:rsidRPr="00B675D2" w:rsidRDefault="000A3612" w:rsidP="00B675D2">
            <w:r>
              <w:t>Develop a Zoning Plan for the City</w:t>
            </w:r>
          </w:p>
        </w:tc>
        <w:tc>
          <w:tcPr>
            <w:tcW w:w="0" w:type="auto"/>
            <w:vAlign w:val="center"/>
            <w:hideMark/>
          </w:tcPr>
          <w:p w14:paraId="46EE7A65" w14:textId="7F7430F9" w:rsidR="00B675D2" w:rsidRPr="00B675D2" w:rsidRDefault="000A3612" w:rsidP="00B675D2">
            <w:r>
              <w:t xml:space="preserve">Ensure </w:t>
            </w:r>
            <w:r w:rsidR="009011AF">
              <w:t xml:space="preserve">city planning allows for residential, agricultural, commercial and industrial uses in </w:t>
            </w:r>
            <w:r w:rsidR="00FD6265">
              <w:t>planned deliberate areas</w:t>
            </w:r>
          </w:p>
        </w:tc>
        <w:tc>
          <w:tcPr>
            <w:tcW w:w="0" w:type="auto"/>
            <w:vAlign w:val="center"/>
            <w:hideMark/>
          </w:tcPr>
          <w:p w14:paraId="45DA5A12" w14:textId="2787CB9A" w:rsidR="00B675D2" w:rsidRPr="00B675D2" w:rsidRDefault="00FD6265" w:rsidP="00B675D2">
            <w:r w:rsidRPr="00B675D2">
              <w:t xml:space="preserve">City Council, </w:t>
            </w:r>
            <w:r>
              <w:t>Building and Development Committee</w:t>
            </w:r>
          </w:p>
        </w:tc>
        <w:tc>
          <w:tcPr>
            <w:tcW w:w="0" w:type="auto"/>
            <w:vAlign w:val="center"/>
            <w:hideMark/>
          </w:tcPr>
          <w:p w14:paraId="64BE3529" w14:textId="1F9A9243" w:rsidR="00B675D2" w:rsidRPr="00B675D2" w:rsidRDefault="00B675D2" w:rsidP="00B675D2">
            <w:r w:rsidRPr="00B675D2">
              <w:t>202</w:t>
            </w:r>
            <w:r w:rsidR="00FD6265">
              <w:t>6</w:t>
            </w:r>
          </w:p>
        </w:tc>
      </w:tr>
      <w:tr w:rsidR="00FD6265" w:rsidRPr="00B675D2" w14:paraId="2D1B3D21" w14:textId="77777777">
        <w:trPr>
          <w:tblCellSpacing w:w="15" w:type="dxa"/>
        </w:trPr>
        <w:tc>
          <w:tcPr>
            <w:tcW w:w="0" w:type="auto"/>
            <w:vAlign w:val="center"/>
            <w:hideMark/>
          </w:tcPr>
          <w:p w14:paraId="56CB437B" w14:textId="77777777" w:rsidR="00B675D2" w:rsidRPr="00B675D2" w:rsidRDefault="00B675D2" w:rsidP="00B675D2">
            <w:r w:rsidRPr="00B675D2">
              <w:lastRenderedPageBreak/>
              <w:t>Protect Natural Features</w:t>
            </w:r>
          </w:p>
        </w:tc>
        <w:tc>
          <w:tcPr>
            <w:tcW w:w="0" w:type="auto"/>
            <w:vAlign w:val="center"/>
            <w:hideMark/>
          </w:tcPr>
          <w:p w14:paraId="4EE8B2B4" w14:textId="5D0F6857" w:rsidR="00B675D2" w:rsidRPr="00B675D2" w:rsidRDefault="00B675D2" w:rsidP="00B675D2">
            <w:r w:rsidRPr="00B675D2">
              <w:t xml:space="preserve">Adopt overlay zones for </w:t>
            </w:r>
            <w:r w:rsidR="003E1302">
              <w:t>creeks, ditches</w:t>
            </w:r>
            <w:r w:rsidRPr="00B675D2">
              <w:t>, and habitat</w:t>
            </w:r>
          </w:p>
        </w:tc>
        <w:tc>
          <w:tcPr>
            <w:tcW w:w="0" w:type="auto"/>
            <w:vAlign w:val="center"/>
            <w:hideMark/>
          </w:tcPr>
          <w:p w14:paraId="501C883E" w14:textId="296CF0EC" w:rsidR="00B675D2" w:rsidRPr="00B675D2" w:rsidRDefault="003A2483" w:rsidP="00B675D2">
            <w:r>
              <w:t>Building and Development Committee</w:t>
            </w:r>
          </w:p>
        </w:tc>
        <w:tc>
          <w:tcPr>
            <w:tcW w:w="0" w:type="auto"/>
            <w:vAlign w:val="center"/>
            <w:hideMark/>
          </w:tcPr>
          <w:p w14:paraId="71A39F18" w14:textId="77777777" w:rsidR="00B675D2" w:rsidRPr="00B675D2" w:rsidRDefault="00B675D2" w:rsidP="00B675D2">
            <w:r w:rsidRPr="00B675D2">
              <w:t>2027</w:t>
            </w:r>
          </w:p>
        </w:tc>
      </w:tr>
      <w:tr w:rsidR="00321020" w:rsidRPr="00B675D2" w14:paraId="69E7D221" w14:textId="77777777">
        <w:trPr>
          <w:tblCellSpacing w:w="15" w:type="dxa"/>
        </w:trPr>
        <w:tc>
          <w:tcPr>
            <w:tcW w:w="0" w:type="auto"/>
            <w:vAlign w:val="center"/>
          </w:tcPr>
          <w:p w14:paraId="10A355F6" w14:textId="28AC9C9C" w:rsidR="00321020" w:rsidRPr="00B675D2" w:rsidRDefault="006D194D" w:rsidP="00B675D2">
            <w:r>
              <w:t>Develop a Zoning Plan for the City</w:t>
            </w:r>
          </w:p>
        </w:tc>
        <w:tc>
          <w:tcPr>
            <w:tcW w:w="0" w:type="auto"/>
            <w:vAlign w:val="center"/>
          </w:tcPr>
          <w:p w14:paraId="65258878" w14:textId="31A46324" w:rsidR="00321020" w:rsidRPr="00B675D2" w:rsidRDefault="006D194D" w:rsidP="00B675D2">
            <w:r>
              <w:t>Survey city owned roadways, easements, etc.</w:t>
            </w:r>
            <w:r w:rsidR="00D76903">
              <w:t xml:space="preserve"> for accuracy</w:t>
            </w:r>
            <w:r>
              <w:t xml:space="preserve"> </w:t>
            </w:r>
          </w:p>
        </w:tc>
        <w:tc>
          <w:tcPr>
            <w:tcW w:w="0" w:type="auto"/>
            <w:vAlign w:val="center"/>
          </w:tcPr>
          <w:p w14:paraId="6BF15615" w14:textId="0D594464" w:rsidR="00321020" w:rsidRDefault="00D76903" w:rsidP="00B675D2">
            <w:r>
              <w:t>Building and Development Committee</w:t>
            </w:r>
          </w:p>
        </w:tc>
        <w:tc>
          <w:tcPr>
            <w:tcW w:w="0" w:type="auto"/>
            <w:vAlign w:val="center"/>
          </w:tcPr>
          <w:p w14:paraId="24805273" w14:textId="1974C247" w:rsidR="00321020" w:rsidRPr="00B675D2" w:rsidRDefault="00D76903" w:rsidP="00B675D2">
            <w:r>
              <w:t>2027</w:t>
            </w:r>
          </w:p>
        </w:tc>
      </w:tr>
    </w:tbl>
    <w:p w14:paraId="0A7BD531" w14:textId="77777777" w:rsidR="00D06EAF" w:rsidRDefault="00D06EAF" w:rsidP="00B675D2"/>
    <w:p w14:paraId="057A42D1" w14:textId="76112315" w:rsidR="00B675D2" w:rsidRPr="00B675D2" w:rsidRDefault="00B675D2" w:rsidP="00B675D2">
      <w:r w:rsidRPr="00B675D2">
        <w:t>The table above summarizes key land use goals, with clear assignments and timelines to ensure accountability. Each objective is grounded in tested rural models and adjusted for Bloomington’s current and anticipated conditions.</w:t>
      </w:r>
    </w:p>
    <w:p w14:paraId="3E61EC5F" w14:textId="77777777" w:rsidR="00B675D2" w:rsidRPr="00B675D2" w:rsidRDefault="00B675D2" w:rsidP="00B675D2">
      <w:r w:rsidRPr="00B675D2">
        <w:t>These land use recommendations draw on best practices from not only Idaho but also national rural planning authorities: preservation of essential farmland, appropriate infill to manage costs and maximize public investment, protection of environmental assets through overlay zoning, and synchronization of land-use policy with broader economic and housing objectives.</w:t>
      </w:r>
    </w:p>
    <w:p w14:paraId="4DB5C4F0" w14:textId="48195723" w:rsidR="00B675D2" w:rsidRPr="00B675D2" w:rsidRDefault="00B675D2" w:rsidP="00B675D2">
      <w:r w:rsidRPr="00B675D2">
        <w:t xml:space="preserve">Proposals such as revising the Future Land Use Map and </w:t>
      </w:r>
      <w:r w:rsidR="00593B57">
        <w:t>development of zoning laws</w:t>
      </w:r>
      <w:r w:rsidRPr="00B675D2">
        <w:t xml:space="preserve"> are consistent with the approaches outlined in recent Idaho county and small-town plans—these emphasize local discretion tailored through citizen participation. Coordination with agricultural preservation agencies and local property owners will be crucial for successful implementation.</w:t>
      </w:r>
    </w:p>
    <w:p w14:paraId="51510F84" w14:textId="77777777" w:rsidR="00B675D2" w:rsidRPr="00B675D2" w:rsidRDefault="00000000" w:rsidP="00B675D2">
      <w:r>
        <w:rPr>
          <w:noProof/>
        </w:rPr>
        <w:pict w14:anchorId="3784F7B8">
          <v:rect id="_x0000_i1029" style="width:0;height:1.5pt" o:hralign="center" o:hrstd="t" o:hr="t" fillcolor="#a0a0a0" stroked="f"/>
        </w:pict>
      </w:r>
    </w:p>
    <w:p w14:paraId="2DCD1D1C" w14:textId="77777777" w:rsidR="00B675D2" w:rsidRPr="00B675D2" w:rsidRDefault="00B675D2" w:rsidP="00B675D2">
      <w:pPr>
        <w:rPr>
          <w:b/>
          <w:bCs/>
        </w:rPr>
      </w:pPr>
      <w:r w:rsidRPr="00B675D2">
        <w:rPr>
          <w:b/>
          <w:bCs/>
        </w:rPr>
        <w:t>Housing: Meeting Community Needs Through Rural Strategies</w:t>
      </w:r>
    </w:p>
    <w:p w14:paraId="30E29310" w14:textId="77777777" w:rsidR="00B675D2" w:rsidRPr="00B675D2" w:rsidRDefault="00B675D2" w:rsidP="00B675D2">
      <w:pPr>
        <w:rPr>
          <w:b/>
          <w:bCs/>
        </w:rPr>
      </w:pPr>
      <w:r w:rsidRPr="00B675D2">
        <w:rPr>
          <w:b/>
          <w:bCs/>
        </w:rPr>
        <w:t>1. Housing Market Insights and Rural Affordability Challenges</w:t>
      </w:r>
    </w:p>
    <w:p w14:paraId="7F30A91F" w14:textId="0EA7735D" w:rsidR="00B675D2" w:rsidRDefault="00B675D2" w:rsidP="00B675D2">
      <w:r w:rsidRPr="00B675D2">
        <w:t>Since 2014, housing affordability and supply have become central policy concerns for Idaho. Rural areas like Bloomington are not immune—market analyses show that rising costs, and aging stock combine to threaten affordability for both young families and aging residents. The COVID-19 pandemic and urban outmigration increased demand in rural regions, and with it, the risk of speculative investment pricing out locals.</w:t>
      </w:r>
      <w:r w:rsidR="00B06E95">
        <w:t xml:space="preserve">  In addition, the tourism pressure from</w:t>
      </w:r>
      <w:r w:rsidR="00BA38BC">
        <w:t xml:space="preserve"> the south around Bear Lake is not to be ignored.  </w:t>
      </w:r>
    </w:p>
    <w:p w14:paraId="3B77AAFB" w14:textId="77777777" w:rsidR="00CA1E22" w:rsidRDefault="00CA1E22" w:rsidP="00B675D2"/>
    <w:p w14:paraId="58473B14" w14:textId="77777777" w:rsidR="00CA1E22" w:rsidRPr="00B675D2" w:rsidRDefault="00CA1E22" w:rsidP="00B675D2"/>
    <w:p w14:paraId="08D50213" w14:textId="77777777" w:rsidR="00B675D2" w:rsidRPr="00B675D2" w:rsidRDefault="00B675D2" w:rsidP="00B675D2">
      <w:r w:rsidRPr="00B675D2">
        <w:lastRenderedPageBreak/>
        <w:t>Bloomington’s housing policies must therefore address:</w:t>
      </w:r>
    </w:p>
    <w:p w14:paraId="6EBD5776" w14:textId="77777777" w:rsidR="00B675D2" w:rsidRPr="00B675D2" w:rsidRDefault="00B675D2" w:rsidP="00B675D2">
      <w:pPr>
        <w:numPr>
          <w:ilvl w:val="0"/>
          <w:numId w:val="20"/>
        </w:numPr>
      </w:pPr>
      <w:r w:rsidRPr="00B675D2">
        <w:rPr>
          <w:b/>
          <w:bCs/>
        </w:rPr>
        <w:t>Preservation and rehabilitation of existing affordable homes</w:t>
      </w:r>
    </w:p>
    <w:p w14:paraId="70D12B6C" w14:textId="2C0C8133" w:rsidR="00B675D2" w:rsidRPr="00B675D2" w:rsidRDefault="00B675D2" w:rsidP="00B675D2">
      <w:pPr>
        <w:numPr>
          <w:ilvl w:val="0"/>
          <w:numId w:val="20"/>
        </w:numPr>
      </w:pPr>
      <w:r w:rsidRPr="00B675D2">
        <w:rPr>
          <w:b/>
          <w:bCs/>
        </w:rPr>
        <w:t xml:space="preserve">Targeted support for </w:t>
      </w:r>
      <w:r w:rsidR="00B91513">
        <w:rPr>
          <w:b/>
          <w:bCs/>
        </w:rPr>
        <w:t>permanent residents</w:t>
      </w:r>
    </w:p>
    <w:p w14:paraId="089B4EAD" w14:textId="77777777" w:rsidR="00B675D2" w:rsidRPr="00B675D2" w:rsidRDefault="00B675D2" w:rsidP="00B675D2">
      <w:r w:rsidRPr="00B675D2">
        <w:t>These strategies are rooted in evidence from successful rural housing initiatives in Idaho and similar regions across the West.</w:t>
      </w:r>
    </w:p>
    <w:p w14:paraId="4925F9C5" w14:textId="77777777" w:rsidR="00B675D2" w:rsidRPr="00B675D2" w:rsidRDefault="00B675D2" w:rsidP="00B675D2">
      <w:pPr>
        <w:rPr>
          <w:b/>
          <w:bCs/>
        </w:rPr>
      </w:pPr>
      <w:r w:rsidRPr="00B675D2">
        <w:rPr>
          <w:b/>
          <w:bCs/>
        </w:rPr>
        <w:t>2. Key Housing Policy Objectives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0"/>
        <w:gridCol w:w="3440"/>
        <w:gridCol w:w="2964"/>
        <w:gridCol w:w="1016"/>
      </w:tblGrid>
      <w:tr w:rsidR="00B675D2" w:rsidRPr="00B675D2" w14:paraId="7830108A" w14:textId="77777777">
        <w:trPr>
          <w:tblHeader/>
          <w:tblCellSpacing w:w="15" w:type="dxa"/>
        </w:trPr>
        <w:tc>
          <w:tcPr>
            <w:tcW w:w="0" w:type="auto"/>
            <w:vAlign w:val="center"/>
            <w:hideMark/>
          </w:tcPr>
          <w:p w14:paraId="50EBD9E0" w14:textId="77777777" w:rsidR="00B675D2" w:rsidRPr="00B675D2" w:rsidRDefault="00B675D2" w:rsidP="00B675D2">
            <w:pPr>
              <w:rPr>
                <w:b/>
                <w:bCs/>
              </w:rPr>
            </w:pPr>
            <w:r w:rsidRPr="00B675D2">
              <w:rPr>
                <w:b/>
                <w:bCs/>
              </w:rPr>
              <w:t>Objective</w:t>
            </w:r>
          </w:p>
        </w:tc>
        <w:tc>
          <w:tcPr>
            <w:tcW w:w="0" w:type="auto"/>
            <w:vAlign w:val="center"/>
            <w:hideMark/>
          </w:tcPr>
          <w:p w14:paraId="03124204" w14:textId="77777777" w:rsidR="00B675D2" w:rsidRPr="00B675D2" w:rsidRDefault="00B675D2" w:rsidP="00B675D2">
            <w:pPr>
              <w:rPr>
                <w:b/>
                <w:bCs/>
              </w:rPr>
            </w:pPr>
            <w:r w:rsidRPr="00B675D2">
              <w:rPr>
                <w:b/>
                <w:bCs/>
              </w:rPr>
              <w:t>Strategy</w:t>
            </w:r>
          </w:p>
        </w:tc>
        <w:tc>
          <w:tcPr>
            <w:tcW w:w="0" w:type="auto"/>
            <w:vAlign w:val="center"/>
            <w:hideMark/>
          </w:tcPr>
          <w:p w14:paraId="6E7B4C8C" w14:textId="77777777" w:rsidR="00B675D2" w:rsidRPr="00B675D2" w:rsidRDefault="00B675D2" w:rsidP="00B675D2">
            <w:pPr>
              <w:rPr>
                <w:b/>
                <w:bCs/>
              </w:rPr>
            </w:pPr>
            <w:r w:rsidRPr="00B675D2">
              <w:rPr>
                <w:b/>
                <w:bCs/>
              </w:rPr>
              <w:t>Responsible Party</w:t>
            </w:r>
          </w:p>
        </w:tc>
        <w:tc>
          <w:tcPr>
            <w:tcW w:w="0" w:type="auto"/>
            <w:vAlign w:val="center"/>
            <w:hideMark/>
          </w:tcPr>
          <w:p w14:paraId="0B348070" w14:textId="77777777" w:rsidR="00B675D2" w:rsidRPr="00B675D2" w:rsidRDefault="00B675D2" w:rsidP="00B675D2">
            <w:pPr>
              <w:rPr>
                <w:b/>
                <w:bCs/>
              </w:rPr>
            </w:pPr>
            <w:r w:rsidRPr="00B675D2">
              <w:rPr>
                <w:b/>
                <w:bCs/>
              </w:rPr>
              <w:t>Timeline</w:t>
            </w:r>
          </w:p>
        </w:tc>
      </w:tr>
      <w:tr w:rsidR="00B675D2" w:rsidRPr="00B675D2" w14:paraId="5D708730" w14:textId="77777777">
        <w:trPr>
          <w:tblCellSpacing w:w="15" w:type="dxa"/>
        </w:trPr>
        <w:tc>
          <w:tcPr>
            <w:tcW w:w="0" w:type="auto"/>
            <w:vAlign w:val="center"/>
            <w:hideMark/>
          </w:tcPr>
          <w:p w14:paraId="45AE15D0" w14:textId="77777777" w:rsidR="00B675D2" w:rsidRPr="00B675D2" w:rsidRDefault="00B675D2" w:rsidP="00B675D2">
            <w:r w:rsidRPr="00B675D2">
              <w:t>Monitor Housing Needs</w:t>
            </w:r>
          </w:p>
        </w:tc>
        <w:tc>
          <w:tcPr>
            <w:tcW w:w="0" w:type="auto"/>
            <w:vAlign w:val="center"/>
            <w:hideMark/>
          </w:tcPr>
          <w:p w14:paraId="4287B96F" w14:textId="77777777" w:rsidR="00B675D2" w:rsidRPr="00B675D2" w:rsidRDefault="00B675D2" w:rsidP="00B675D2">
            <w:r w:rsidRPr="00B675D2">
              <w:t>Annual review using regional housing market data</w:t>
            </w:r>
          </w:p>
        </w:tc>
        <w:tc>
          <w:tcPr>
            <w:tcW w:w="0" w:type="auto"/>
            <w:vAlign w:val="center"/>
            <w:hideMark/>
          </w:tcPr>
          <w:p w14:paraId="6BE1AE3D" w14:textId="69BCA470" w:rsidR="00B675D2" w:rsidRPr="00B675D2" w:rsidRDefault="00ED53D5" w:rsidP="00B675D2">
            <w:r>
              <w:t>Building and Development Committee</w:t>
            </w:r>
          </w:p>
        </w:tc>
        <w:tc>
          <w:tcPr>
            <w:tcW w:w="0" w:type="auto"/>
            <w:vAlign w:val="center"/>
            <w:hideMark/>
          </w:tcPr>
          <w:p w14:paraId="4BE64EF9" w14:textId="77777777" w:rsidR="00B675D2" w:rsidRPr="00B675D2" w:rsidRDefault="00B675D2" w:rsidP="00B675D2">
            <w:r w:rsidRPr="00B675D2">
              <w:t>Annually</w:t>
            </w:r>
          </w:p>
        </w:tc>
      </w:tr>
    </w:tbl>
    <w:p w14:paraId="78B8DE7B" w14:textId="77777777" w:rsidR="00F52A29" w:rsidRDefault="00F52A29" w:rsidP="00B675D2"/>
    <w:p w14:paraId="17E3727D" w14:textId="181F02BE" w:rsidR="00B675D2" w:rsidRPr="00B675D2" w:rsidRDefault="00B675D2" w:rsidP="00B675D2">
      <w:r w:rsidRPr="00B675D2">
        <w:t>Crucially, all housing strategies emphasize working with partners: from Bear Lake County to non-profits and state agencies. This is in keeping with Idaho’s “Affordable Housing Moonshot,” which demonstrates the importance of collaborative, regional programs in addressing complex rural housing markets.</w:t>
      </w:r>
    </w:p>
    <w:p w14:paraId="0BABEFBE" w14:textId="77777777" w:rsidR="00B675D2" w:rsidRPr="00B675D2" w:rsidRDefault="00000000" w:rsidP="00B675D2">
      <w:r>
        <w:rPr>
          <w:noProof/>
        </w:rPr>
        <w:pict w14:anchorId="03201E3F">
          <v:rect id="_x0000_i1030" style="width:0;height:1.5pt" o:hralign="center" o:hrstd="t" o:hr="t" fillcolor="#a0a0a0" stroked="f"/>
        </w:pict>
      </w:r>
    </w:p>
    <w:p w14:paraId="5E1906B1" w14:textId="77777777" w:rsidR="00B675D2" w:rsidRPr="00B675D2" w:rsidRDefault="00B675D2" w:rsidP="00B675D2">
      <w:pPr>
        <w:rPr>
          <w:b/>
          <w:bCs/>
        </w:rPr>
      </w:pPr>
      <w:r w:rsidRPr="00B675D2">
        <w:rPr>
          <w:b/>
          <w:bCs/>
        </w:rPr>
        <w:t>Transportation: Mobility and Accessibility in a Rural Setting</w:t>
      </w:r>
    </w:p>
    <w:p w14:paraId="012296C3" w14:textId="77777777" w:rsidR="00B675D2" w:rsidRPr="00B675D2" w:rsidRDefault="00B675D2" w:rsidP="00B675D2">
      <w:pPr>
        <w:rPr>
          <w:b/>
          <w:bCs/>
        </w:rPr>
      </w:pPr>
      <w:r w:rsidRPr="00B675D2">
        <w:rPr>
          <w:b/>
          <w:bCs/>
        </w:rPr>
        <w:t>1. Trends and Challenges in Rural Transportation</w:t>
      </w:r>
    </w:p>
    <w:p w14:paraId="26FE5DE1" w14:textId="77777777" w:rsidR="00B675D2" w:rsidRPr="00B675D2" w:rsidRDefault="00B675D2" w:rsidP="00B675D2">
      <w:r w:rsidRPr="00B675D2">
        <w:t>Transportation planning in rural Idaho is defined by a unique set of opportunities and limitations: fewer arterial roads, long distances, minimal public transit, and the high cost of infrastructure maintenance. As the region grows and diversifies, new needs have emerged: safe cycling and pedestrian infrastructure, improved connectivity to regional employment centers, and accessible transit for elderly and disabled residents.</w:t>
      </w:r>
    </w:p>
    <w:p w14:paraId="07644C92" w14:textId="77777777" w:rsidR="00B675D2" w:rsidRPr="00B675D2" w:rsidRDefault="00B675D2" w:rsidP="00B675D2">
      <w:r w:rsidRPr="00B675D2">
        <w:t>Best practices cited in Idaho transportation planning documents include:</w:t>
      </w:r>
    </w:p>
    <w:p w14:paraId="2DDA3520" w14:textId="77777777" w:rsidR="00B675D2" w:rsidRPr="004F4BA2" w:rsidRDefault="00B675D2" w:rsidP="00B675D2">
      <w:pPr>
        <w:numPr>
          <w:ilvl w:val="0"/>
          <w:numId w:val="21"/>
        </w:numPr>
      </w:pPr>
      <w:r w:rsidRPr="00B675D2">
        <w:rPr>
          <w:b/>
          <w:bCs/>
        </w:rPr>
        <w:t>Complete Streets policies tailored to rural scale</w:t>
      </w:r>
    </w:p>
    <w:p w14:paraId="22B0407C" w14:textId="3D6B400A" w:rsidR="006E3C0B" w:rsidRPr="00B675D2" w:rsidRDefault="006D6AE7" w:rsidP="00B675D2">
      <w:pPr>
        <w:numPr>
          <w:ilvl w:val="0"/>
          <w:numId w:val="21"/>
        </w:numPr>
      </w:pPr>
      <w:r>
        <w:rPr>
          <w:b/>
          <w:bCs/>
        </w:rPr>
        <w:t xml:space="preserve">Investments into managing increases </w:t>
      </w:r>
      <w:r w:rsidR="00EC09CC">
        <w:rPr>
          <w:b/>
          <w:bCs/>
        </w:rPr>
        <w:t>from</w:t>
      </w:r>
      <w:r>
        <w:rPr>
          <w:b/>
          <w:bCs/>
        </w:rPr>
        <w:t xml:space="preserve"> tourism traffic</w:t>
      </w:r>
    </w:p>
    <w:p w14:paraId="231EC3A9" w14:textId="77777777" w:rsidR="00B675D2" w:rsidRDefault="00B675D2" w:rsidP="00B675D2">
      <w:r w:rsidRPr="00B675D2">
        <w:t>These themes echo regional transportation plans and Idaho Department of Transportation’s current guidance.</w:t>
      </w:r>
    </w:p>
    <w:p w14:paraId="3465926A" w14:textId="77777777" w:rsidR="00CA1E22" w:rsidRDefault="00CA1E22" w:rsidP="00B675D2"/>
    <w:p w14:paraId="456F67DA" w14:textId="77777777" w:rsidR="00CA1E22" w:rsidRPr="00B675D2" w:rsidRDefault="00CA1E22" w:rsidP="00B675D2"/>
    <w:p w14:paraId="6E44E1FD" w14:textId="77777777" w:rsidR="00B675D2" w:rsidRPr="00B675D2" w:rsidRDefault="00B675D2" w:rsidP="00B675D2">
      <w:pPr>
        <w:rPr>
          <w:b/>
          <w:bCs/>
        </w:rPr>
      </w:pPr>
      <w:r w:rsidRPr="00B675D2">
        <w:rPr>
          <w:b/>
          <w:bCs/>
        </w:rPr>
        <w:lastRenderedPageBreak/>
        <w:t>2. Transportation Policy Objectives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5"/>
        <w:gridCol w:w="4067"/>
        <w:gridCol w:w="2203"/>
        <w:gridCol w:w="1065"/>
      </w:tblGrid>
      <w:tr w:rsidR="000A78CE" w:rsidRPr="00B675D2" w14:paraId="03E3D084" w14:textId="77777777">
        <w:trPr>
          <w:tblHeader/>
          <w:tblCellSpacing w:w="15" w:type="dxa"/>
        </w:trPr>
        <w:tc>
          <w:tcPr>
            <w:tcW w:w="0" w:type="auto"/>
            <w:vAlign w:val="center"/>
            <w:hideMark/>
          </w:tcPr>
          <w:p w14:paraId="639E9E92" w14:textId="77777777" w:rsidR="00B675D2" w:rsidRPr="00B675D2" w:rsidRDefault="00B675D2" w:rsidP="00B675D2">
            <w:pPr>
              <w:rPr>
                <w:b/>
                <w:bCs/>
              </w:rPr>
            </w:pPr>
            <w:r w:rsidRPr="00B675D2">
              <w:rPr>
                <w:b/>
                <w:bCs/>
              </w:rPr>
              <w:t>Objective</w:t>
            </w:r>
          </w:p>
        </w:tc>
        <w:tc>
          <w:tcPr>
            <w:tcW w:w="0" w:type="auto"/>
            <w:vAlign w:val="center"/>
            <w:hideMark/>
          </w:tcPr>
          <w:p w14:paraId="57362406" w14:textId="77777777" w:rsidR="00B675D2" w:rsidRPr="00B675D2" w:rsidRDefault="00B675D2" w:rsidP="00B675D2">
            <w:pPr>
              <w:rPr>
                <w:b/>
                <w:bCs/>
              </w:rPr>
            </w:pPr>
            <w:r w:rsidRPr="00B675D2">
              <w:rPr>
                <w:b/>
                <w:bCs/>
              </w:rPr>
              <w:t>Strategy</w:t>
            </w:r>
          </w:p>
        </w:tc>
        <w:tc>
          <w:tcPr>
            <w:tcW w:w="0" w:type="auto"/>
            <w:vAlign w:val="center"/>
            <w:hideMark/>
          </w:tcPr>
          <w:p w14:paraId="5310E3FA" w14:textId="77777777" w:rsidR="00B675D2" w:rsidRPr="00B675D2" w:rsidRDefault="00B675D2" w:rsidP="00B675D2">
            <w:pPr>
              <w:rPr>
                <w:b/>
                <w:bCs/>
              </w:rPr>
            </w:pPr>
            <w:r w:rsidRPr="00B675D2">
              <w:rPr>
                <w:b/>
                <w:bCs/>
              </w:rPr>
              <w:t>Responsible Party</w:t>
            </w:r>
          </w:p>
        </w:tc>
        <w:tc>
          <w:tcPr>
            <w:tcW w:w="0" w:type="auto"/>
            <w:vAlign w:val="center"/>
            <w:hideMark/>
          </w:tcPr>
          <w:p w14:paraId="4A06D9F1" w14:textId="77777777" w:rsidR="00B675D2" w:rsidRPr="00B675D2" w:rsidRDefault="00B675D2" w:rsidP="00B675D2">
            <w:pPr>
              <w:rPr>
                <w:b/>
                <w:bCs/>
              </w:rPr>
            </w:pPr>
            <w:r w:rsidRPr="00B675D2">
              <w:rPr>
                <w:b/>
                <w:bCs/>
              </w:rPr>
              <w:t>Timeline</w:t>
            </w:r>
          </w:p>
        </w:tc>
      </w:tr>
      <w:tr w:rsidR="000A78CE" w:rsidRPr="00B675D2" w14:paraId="1F49FD70" w14:textId="77777777">
        <w:trPr>
          <w:tblCellSpacing w:w="15" w:type="dxa"/>
        </w:trPr>
        <w:tc>
          <w:tcPr>
            <w:tcW w:w="0" w:type="auto"/>
            <w:vAlign w:val="center"/>
            <w:hideMark/>
          </w:tcPr>
          <w:p w14:paraId="55C302E3" w14:textId="77777777" w:rsidR="00B675D2" w:rsidRPr="00B675D2" w:rsidRDefault="00B675D2" w:rsidP="00B675D2">
            <w:r w:rsidRPr="00B675D2">
              <w:t>Improve Road Safety</w:t>
            </w:r>
          </w:p>
        </w:tc>
        <w:tc>
          <w:tcPr>
            <w:tcW w:w="0" w:type="auto"/>
            <w:vAlign w:val="center"/>
            <w:hideMark/>
          </w:tcPr>
          <w:p w14:paraId="35529B60" w14:textId="77777777" w:rsidR="00B675D2" w:rsidRPr="00B675D2" w:rsidRDefault="00B675D2" w:rsidP="00B675D2">
            <w:r w:rsidRPr="00B675D2">
              <w:t>Complete annual road safety audit; address key crossings</w:t>
            </w:r>
          </w:p>
        </w:tc>
        <w:tc>
          <w:tcPr>
            <w:tcW w:w="0" w:type="auto"/>
            <w:vAlign w:val="center"/>
            <w:hideMark/>
          </w:tcPr>
          <w:p w14:paraId="3D1F94B5" w14:textId="03D1A03D" w:rsidR="00B675D2" w:rsidRPr="00B675D2" w:rsidRDefault="000A78CE" w:rsidP="00B675D2">
            <w:r>
              <w:t>Building and Development Committee</w:t>
            </w:r>
          </w:p>
        </w:tc>
        <w:tc>
          <w:tcPr>
            <w:tcW w:w="0" w:type="auto"/>
            <w:vAlign w:val="center"/>
            <w:hideMark/>
          </w:tcPr>
          <w:p w14:paraId="7F98ADA1" w14:textId="77777777" w:rsidR="00B675D2" w:rsidRPr="00B675D2" w:rsidRDefault="00B675D2" w:rsidP="00B675D2">
            <w:r w:rsidRPr="00B675D2">
              <w:t>2026-2027</w:t>
            </w:r>
          </w:p>
        </w:tc>
      </w:tr>
      <w:tr w:rsidR="000A78CE" w:rsidRPr="00B675D2" w14:paraId="7A1E028E" w14:textId="77777777">
        <w:trPr>
          <w:tblCellSpacing w:w="15" w:type="dxa"/>
        </w:trPr>
        <w:tc>
          <w:tcPr>
            <w:tcW w:w="0" w:type="auto"/>
            <w:vAlign w:val="center"/>
            <w:hideMark/>
          </w:tcPr>
          <w:p w14:paraId="748C8694" w14:textId="77777777" w:rsidR="00B675D2" w:rsidRPr="00B675D2" w:rsidRDefault="00B675D2" w:rsidP="00B675D2">
            <w:r w:rsidRPr="00B675D2">
              <w:t>Expand Non-Motorized Options</w:t>
            </w:r>
          </w:p>
        </w:tc>
        <w:tc>
          <w:tcPr>
            <w:tcW w:w="0" w:type="auto"/>
            <w:vAlign w:val="center"/>
            <w:hideMark/>
          </w:tcPr>
          <w:p w14:paraId="4E13D440" w14:textId="77777777" w:rsidR="00B675D2" w:rsidRPr="00B675D2" w:rsidRDefault="00B675D2" w:rsidP="00B675D2">
            <w:r w:rsidRPr="00B675D2">
              <w:t>Build pedestrian/bike path on priority corridors</w:t>
            </w:r>
          </w:p>
        </w:tc>
        <w:tc>
          <w:tcPr>
            <w:tcW w:w="0" w:type="auto"/>
            <w:vAlign w:val="center"/>
            <w:hideMark/>
          </w:tcPr>
          <w:p w14:paraId="69C27815" w14:textId="1BFD0473" w:rsidR="00B675D2" w:rsidRPr="00B675D2" w:rsidRDefault="000A78CE" w:rsidP="00B675D2">
            <w:r>
              <w:t>Building and Development Committee</w:t>
            </w:r>
          </w:p>
        </w:tc>
        <w:tc>
          <w:tcPr>
            <w:tcW w:w="0" w:type="auto"/>
            <w:vAlign w:val="center"/>
            <w:hideMark/>
          </w:tcPr>
          <w:p w14:paraId="6485BFDA" w14:textId="77777777" w:rsidR="00B675D2" w:rsidRPr="00B675D2" w:rsidRDefault="00B675D2" w:rsidP="00B675D2">
            <w:r w:rsidRPr="00B675D2">
              <w:t>2028</w:t>
            </w:r>
          </w:p>
        </w:tc>
      </w:tr>
      <w:tr w:rsidR="00D84A08" w:rsidRPr="00B675D2" w14:paraId="044CBB3E" w14:textId="77777777">
        <w:trPr>
          <w:tblCellSpacing w:w="15" w:type="dxa"/>
        </w:trPr>
        <w:tc>
          <w:tcPr>
            <w:tcW w:w="0" w:type="auto"/>
            <w:vAlign w:val="center"/>
          </w:tcPr>
          <w:p w14:paraId="2261F0EA" w14:textId="481F02D7" w:rsidR="00D84A08" w:rsidRPr="00B675D2" w:rsidRDefault="00B35A41" w:rsidP="00B675D2">
            <w:r w:rsidRPr="00B675D2">
              <w:t>Maintain Existing Infrastructure</w:t>
            </w:r>
          </w:p>
        </w:tc>
        <w:tc>
          <w:tcPr>
            <w:tcW w:w="0" w:type="auto"/>
            <w:vAlign w:val="center"/>
          </w:tcPr>
          <w:p w14:paraId="2263FDC7" w14:textId="464FB7C5" w:rsidR="00D84A08" w:rsidRPr="00B675D2" w:rsidRDefault="00B35A41" w:rsidP="00B675D2">
            <w:r>
              <w:t xml:space="preserve">Develop strategy to manage non-developed </w:t>
            </w:r>
            <w:r w:rsidR="00021CE1">
              <w:t xml:space="preserve">roadways in the city.  </w:t>
            </w:r>
          </w:p>
        </w:tc>
        <w:tc>
          <w:tcPr>
            <w:tcW w:w="0" w:type="auto"/>
            <w:vAlign w:val="center"/>
          </w:tcPr>
          <w:p w14:paraId="710B7AAE" w14:textId="76A2AD7E" w:rsidR="00D84A08" w:rsidRDefault="00021CE1" w:rsidP="00B675D2">
            <w:r>
              <w:t>Building and Development Committee</w:t>
            </w:r>
          </w:p>
        </w:tc>
        <w:tc>
          <w:tcPr>
            <w:tcW w:w="0" w:type="auto"/>
            <w:vAlign w:val="center"/>
          </w:tcPr>
          <w:p w14:paraId="606E58AC" w14:textId="32882B2B" w:rsidR="00D84A08" w:rsidRPr="00B675D2" w:rsidRDefault="00021CE1" w:rsidP="00B675D2">
            <w:r>
              <w:t>2027</w:t>
            </w:r>
          </w:p>
        </w:tc>
      </w:tr>
      <w:tr w:rsidR="000A78CE" w:rsidRPr="00B675D2" w14:paraId="3AFD182A" w14:textId="77777777">
        <w:trPr>
          <w:tblCellSpacing w:w="15" w:type="dxa"/>
        </w:trPr>
        <w:tc>
          <w:tcPr>
            <w:tcW w:w="0" w:type="auto"/>
            <w:vAlign w:val="center"/>
          </w:tcPr>
          <w:p w14:paraId="7F3233D0" w14:textId="05A5EB48" w:rsidR="006D6AE7" w:rsidRPr="00B675D2" w:rsidRDefault="00861501" w:rsidP="00B675D2">
            <w:r>
              <w:t>Manage Tourism Traffic</w:t>
            </w:r>
          </w:p>
        </w:tc>
        <w:tc>
          <w:tcPr>
            <w:tcW w:w="0" w:type="auto"/>
            <w:vAlign w:val="center"/>
          </w:tcPr>
          <w:p w14:paraId="43FA9E89" w14:textId="47FDF835" w:rsidR="006D6AE7" w:rsidRPr="00B675D2" w:rsidRDefault="00861501" w:rsidP="00B675D2">
            <w:r>
              <w:t xml:space="preserve">Develop methods to ensure tourism traffic does not interfere with </w:t>
            </w:r>
            <w:r w:rsidR="00233FE9">
              <w:t>safety or other city objectives</w:t>
            </w:r>
          </w:p>
        </w:tc>
        <w:tc>
          <w:tcPr>
            <w:tcW w:w="0" w:type="auto"/>
            <w:vAlign w:val="center"/>
          </w:tcPr>
          <w:p w14:paraId="00A0BDDF" w14:textId="206166B8" w:rsidR="006D6AE7" w:rsidRPr="00B675D2" w:rsidRDefault="000A78CE" w:rsidP="00B675D2">
            <w:r>
              <w:t>City Council</w:t>
            </w:r>
          </w:p>
        </w:tc>
        <w:tc>
          <w:tcPr>
            <w:tcW w:w="0" w:type="auto"/>
            <w:vAlign w:val="center"/>
          </w:tcPr>
          <w:p w14:paraId="31A0CE28" w14:textId="22128EB2" w:rsidR="006D6AE7" w:rsidRPr="00B675D2" w:rsidRDefault="000A78CE" w:rsidP="00B675D2">
            <w:r>
              <w:t>2026</w:t>
            </w:r>
          </w:p>
        </w:tc>
      </w:tr>
      <w:tr w:rsidR="000A78CE" w:rsidRPr="00B675D2" w14:paraId="19392ABA" w14:textId="77777777">
        <w:trPr>
          <w:tblCellSpacing w:w="15" w:type="dxa"/>
        </w:trPr>
        <w:tc>
          <w:tcPr>
            <w:tcW w:w="0" w:type="auto"/>
            <w:vAlign w:val="center"/>
          </w:tcPr>
          <w:p w14:paraId="04F1A0ED" w14:textId="4A693932" w:rsidR="000A78CE" w:rsidRDefault="004E23A8" w:rsidP="00B675D2">
            <w:r>
              <w:t>Invest in Paved Roadways</w:t>
            </w:r>
          </w:p>
        </w:tc>
        <w:tc>
          <w:tcPr>
            <w:tcW w:w="0" w:type="auto"/>
            <w:vAlign w:val="center"/>
          </w:tcPr>
          <w:p w14:paraId="44B763DD" w14:textId="37A41E1C" w:rsidR="000A78CE" w:rsidRDefault="004E23A8" w:rsidP="00B675D2">
            <w:r>
              <w:t xml:space="preserve">Complete evaluation and apply for grants on </w:t>
            </w:r>
            <w:r w:rsidR="00CF38AF">
              <w:t xml:space="preserve">paving roads accessing </w:t>
            </w:r>
            <w:r w:rsidR="006D6D11">
              <w:t xml:space="preserve">resident’s </w:t>
            </w:r>
            <w:r w:rsidR="00CF38AF">
              <w:t>homes</w:t>
            </w:r>
          </w:p>
        </w:tc>
        <w:tc>
          <w:tcPr>
            <w:tcW w:w="0" w:type="auto"/>
            <w:vAlign w:val="center"/>
          </w:tcPr>
          <w:p w14:paraId="4A7EDEDD" w14:textId="1FA6ED08" w:rsidR="000A78CE" w:rsidRDefault="00CF38AF" w:rsidP="00B675D2">
            <w:r>
              <w:t>Building and Development Committee</w:t>
            </w:r>
          </w:p>
        </w:tc>
        <w:tc>
          <w:tcPr>
            <w:tcW w:w="0" w:type="auto"/>
            <w:vAlign w:val="center"/>
          </w:tcPr>
          <w:p w14:paraId="0038AC5D" w14:textId="3E455579" w:rsidR="000A78CE" w:rsidRDefault="00CF38AF" w:rsidP="00B675D2">
            <w:r>
              <w:t>2026</w:t>
            </w:r>
          </w:p>
        </w:tc>
      </w:tr>
      <w:tr w:rsidR="000A78CE" w:rsidRPr="00B675D2" w14:paraId="0A90C2A1" w14:textId="77777777">
        <w:trPr>
          <w:tblCellSpacing w:w="15" w:type="dxa"/>
        </w:trPr>
        <w:tc>
          <w:tcPr>
            <w:tcW w:w="0" w:type="auto"/>
            <w:vAlign w:val="center"/>
            <w:hideMark/>
          </w:tcPr>
          <w:p w14:paraId="53F10801" w14:textId="77777777" w:rsidR="00B675D2" w:rsidRPr="00B675D2" w:rsidRDefault="00B675D2" w:rsidP="00B675D2">
            <w:r w:rsidRPr="00B675D2">
              <w:t>Maintain Existing Infrastructure</w:t>
            </w:r>
          </w:p>
        </w:tc>
        <w:tc>
          <w:tcPr>
            <w:tcW w:w="0" w:type="auto"/>
            <w:vAlign w:val="center"/>
            <w:hideMark/>
          </w:tcPr>
          <w:p w14:paraId="60CCF34A" w14:textId="77777777" w:rsidR="00B675D2" w:rsidRPr="00B675D2" w:rsidRDefault="00B675D2" w:rsidP="00B675D2">
            <w:r w:rsidRPr="00B675D2">
              <w:t>Prioritize preventative road/bridge maintenance</w:t>
            </w:r>
          </w:p>
        </w:tc>
        <w:tc>
          <w:tcPr>
            <w:tcW w:w="0" w:type="auto"/>
            <w:vAlign w:val="center"/>
            <w:hideMark/>
          </w:tcPr>
          <w:p w14:paraId="319E516C" w14:textId="1C819C10" w:rsidR="00B675D2" w:rsidRPr="00B675D2" w:rsidRDefault="000A78CE" w:rsidP="00B675D2">
            <w:r>
              <w:t>Building and Development Committee</w:t>
            </w:r>
          </w:p>
        </w:tc>
        <w:tc>
          <w:tcPr>
            <w:tcW w:w="0" w:type="auto"/>
            <w:vAlign w:val="center"/>
            <w:hideMark/>
          </w:tcPr>
          <w:p w14:paraId="21A67986" w14:textId="77777777" w:rsidR="00B675D2" w:rsidRPr="00B675D2" w:rsidRDefault="00B675D2" w:rsidP="00B675D2">
            <w:r w:rsidRPr="00B675D2">
              <w:t>Annually</w:t>
            </w:r>
          </w:p>
        </w:tc>
      </w:tr>
    </w:tbl>
    <w:p w14:paraId="3569BEDB" w14:textId="77777777" w:rsidR="006D6D11" w:rsidRDefault="006D6D11" w:rsidP="00B675D2"/>
    <w:p w14:paraId="12F16CD6" w14:textId="2E23FB3A" w:rsidR="00B675D2" w:rsidRPr="00B675D2" w:rsidRDefault="00B675D2" w:rsidP="00B675D2">
      <w:r w:rsidRPr="00B675D2">
        <w:t xml:space="preserve">Timely investments in road safety, maintenance, and non-motorized infrastructure are fundamental for rural quality of life and long-term cost savings. </w:t>
      </w:r>
    </w:p>
    <w:p w14:paraId="52E907D0" w14:textId="21711879" w:rsidR="00B675D2" w:rsidRPr="00B675D2" w:rsidRDefault="00B675D2" w:rsidP="00B675D2">
      <w:r w:rsidRPr="00B675D2">
        <w:t>Resilience planning, including infrastructure audits and hazard mitigation strategies, is now a standard part of Idaho’s rural transportation best practices.</w:t>
      </w:r>
    </w:p>
    <w:p w14:paraId="50DD87A2" w14:textId="77777777" w:rsidR="00B675D2" w:rsidRPr="00B675D2" w:rsidRDefault="00000000" w:rsidP="00B675D2">
      <w:r>
        <w:rPr>
          <w:noProof/>
        </w:rPr>
        <w:pict w14:anchorId="0235068C">
          <v:rect id="_x0000_i1031" style="width:0;height:1.5pt" o:hralign="center" o:hrstd="t" o:hr="t" fillcolor="#a0a0a0" stroked="f"/>
        </w:pict>
      </w:r>
    </w:p>
    <w:p w14:paraId="5DA94038" w14:textId="77777777" w:rsidR="00B675D2" w:rsidRPr="00B675D2" w:rsidRDefault="00B675D2" w:rsidP="00B675D2">
      <w:pPr>
        <w:rPr>
          <w:b/>
          <w:bCs/>
        </w:rPr>
      </w:pPr>
      <w:r w:rsidRPr="00B675D2">
        <w:rPr>
          <w:b/>
          <w:bCs/>
        </w:rPr>
        <w:t>Infrastructure: Building Resilience and Modernization</w:t>
      </w:r>
    </w:p>
    <w:p w14:paraId="4111938A" w14:textId="77777777" w:rsidR="00B675D2" w:rsidRPr="00B675D2" w:rsidRDefault="00B675D2" w:rsidP="00B675D2">
      <w:pPr>
        <w:rPr>
          <w:b/>
          <w:bCs/>
        </w:rPr>
      </w:pPr>
      <w:r w:rsidRPr="00B675D2">
        <w:rPr>
          <w:b/>
          <w:bCs/>
        </w:rPr>
        <w:t>1. Infrastructure Status and Future Needs</w:t>
      </w:r>
    </w:p>
    <w:p w14:paraId="5A55DDE3" w14:textId="77777777" w:rsidR="00B675D2" w:rsidRPr="00B675D2" w:rsidRDefault="00B675D2" w:rsidP="00B675D2">
      <w:r w:rsidRPr="00B675D2">
        <w:t xml:space="preserve">Bloomington’s infrastructure—roads, water/sewer utilities, communications, and energy—has seen only incremental improvement since 2014, reflecting limited budgets typical of </w:t>
      </w:r>
      <w:r w:rsidRPr="00B675D2">
        <w:lastRenderedPageBreak/>
        <w:t>small rural towns. Recent statewide and federal infrastructure initiatives, however, offer both new resources and higher performance expectations.</w:t>
      </w:r>
    </w:p>
    <w:p w14:paraId="2B2E359E" w14:textId="77777777" w:rsidR="00B675D2" w:rsidRPr="00B675D2" w:rsidRDefault="00B675D2" w:rsidP="00B675D2">
      <w:r w:rsidRPr="00B675D2">
        <w:t>Key challenges include:</w:t>
      </w:r>
    </w:p>
    <w:p w14:paraId="26CBB44F" w14:textId="77777777" w:rsidR="00B675D2" w:rsidRPr="004F4BA2" w:rsidRDefault="00B675D2" w:rsidP="00B675D2">
      <w:pPr>
        <w:numPr>
          <w:ilvl w:val="0"/>
          <w:numId w:val="22"/>
        </w:numPr>
      </w:pPr>
      <w:r w:rsidRPr="00B675D2">
        <w:rPr>
          <w:b/>
          <w:bCs/>
        </w:rPr>
        <w:t>Aging drinking water and wastewater systems</w:t>
      </w:r>
    </w:p>
    <w:p w14:paraId="37F19F87" w14:textId="72B6975A" w:rsidR="007D0FC9" w:rsidRPr="00B675D2" w:rsidRDefault="003B35CE" w:rsidP="00B675D2">
      <w:pPr>
        <w:numPr>
          <w:ilvl w:val="0"/>
          <w:numId w:val="22"/>
        </w:numPr>
      </w:pPr>
      <w:r>
        <w:rPr>
          <w:b/>
          <w:bCs/>
        </w:rPr>
        <w:t>Uncertainty of exact underground utility locations</w:t>
      </w:r>
    </w:p>
    <w:p w14:paraId="45466B37" w14:textId="77777777" w:rsidR="00B675D2" w:rsidRPr="00B675D2" w:rsidRDefault="00B675D2" w:rsidP="00B675D2">
      <w:r w:rsidRPr="00B675D2">
        <w:t>Best practices in Idaho now emphasize coordinated capital improvement planning, regular asset management, and deliberate pursuit of state/federal grant funding as essential for rural infrastructure resilience and modernization.</w:t>
      </w:r>
    </w:p>
    <w:p w14:paraId="398C0641" w14:textId="77777777" w:rsidR="00B675D2" w:rsidRPr="00B675D2" w:rsidRDefault="00B675D2" w:rsidP="00B675D2">
      <w:pPr>
        <w:rPr>
          <w:b/>
          <w:bCs/>
        </w:rPr>
      </w:pPr>
      <w:r w:rsidRPr="00B675D2">
        <w:rPr>
          <w:b/>
          <w:bCs/>
        </w:rPr>
        <w:t>2. Infrastructure Objectives and Priorities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8"/>
        <w:gridCol w:w="3471"/>
        <w:gridCol w:w="2495"/>
        <w:gridCol w:w="1096"/>
      </w:tblGrid>
      <w:tr w:rsidR="00B675D2" w:rsidRPr="00B675D2" w14:paraId="44378425" w14:textId="77777777">
        <w:trPr>
          <w:tblHeader/>
          <w:tblCellSpacing w:w="15" w:type="dxa"/>
        </w:trPr>
        <w:tc>
          <w:tcPr>
            <w:tcW w:w="0" w:type="auto"/>
            <w:vAlign w:val="center"/>
            <w:hideMark/>
          </w:tcPr>
          <w:p w14:paraId="4BD8CD52" w14:textId="77777777" w:rsidR="00B675D2" w:rsidRPr="00B675D2" w:rsidRDefault="00B675D2" w:rsidP="00B675D2">
            <w:pPr>
              <w:rPr>
                <w:b/>
                <w:bCs/>
              </w:rPr>
            </w:pPr>
            <w:r w:rsidRPr="00B675D2">
              <w:rPr>
                <w:b/>
                <w:bCs/>
              </w:rPr>
              <w:t>Objective</w:t>
            </w:r>
          </w:p>
        </w:tc>
        <w:tc>
          <w:tcPr>
            <w:tcW w:w="0" w:type="auto"/>
            <w:vAlign w:val="center"/>
            <w:hideMark/>
          </w:tcPr>
          <w:p w14:paraId="5749973B" w14:textId="77777777" w:rsidR="00B675D2" w:rsidRPr="00B675D2" w:rsidRDefault="00B675D2" w:rsidP="00B675D2">
            <w:pPr>
              <w:rPr>
                <w:b/>
                <w:bCs/>
              </w:rPr>
            </w:pPr>
            <w:r w:rsidRPr="00B675D2">
              <w:rPr>
                <w:b/>
                <w:bCs/>
              </w:rPr>
              <w:t>Strategy</w:t>
            </w:r>
          </w:p>
        </w:tc>
        <w:tc>
          <w:tcPr>
            <w:tcW w:w="0" w:type="auto"/>
            <w:vAlign w:val="center"/>
            <w:hideMark/>
          </w:tcPr>
          <w:p w14:paraId="3D3BA779" w14:textId="77777777" w:rsidR="00B675D2" w:rsidRPr="00B675D2" w:rsidRDefault="00B675D2" w:rsidP="00B675D2">
            <w:pPr>
              <w:rPr>
                <w:b/>
                <w:bCs/>
              </w:rPr>
            </w:pPr>
            <w:r w:rsidRPr="00B675D2">
              <w:rPr>
                <w:b/>
                <w:bCs/>
              </w:rPr>
              <w:t>Responsible Party</w:t>
            </w:r>
          </w:p>
        </w:tc>
        <w:tc>
          <w:tcPr>
            <w:tcW w:w="0" w:type="auto"/>
            <w:vAlign w:val="center"/>
            <w:hideMark/>
          </w:tcPr>
          <w:p w14:paraId="34949C28" w14:textId="77777777" w:rsidR="00B675D2" w:rsidRPr="00B675D2" w:rsidRDefault="00B675D2" w:rsidP="00B675D2">
            <w:pPr>
              <w:rPr>
                <w:b/>
                <w:bCs/>
              </w:rPr>
            </w:pPr>
            <w:r w:rsidRPr="00B675D2">
              <w:rPr>
                <w:b/>
                <w:bCs/>
              </w:rPr>
              <w:t>Timeline</w:t>
            </w:r>
          </w:p>
        </w:tc>
      </w:tr>
      <w:tr w:rsidR="00B675D2" w:rsidRPr="00B675D2" w14:paraId="08567C3D" w14:textId="77777777">
        <w:trPr>
          <w:tblCellSpacing w:w="15" w:type="dxa"/>
        </w:trPr>
        <w:tc>
          <w:tcPr>
            <w:tcW w:w="0" w:type="auto"/>
            <w:vAlign w:val="center"/>
            <w:hideMark/>
          </w:tcPr>
          <w:p w14:paraId="20D56293" w14:textId="77777777" w:rsidR="00B675D2" w:rsidRPr="00B675D2" w:rsidRDefault="00B675D2" w:rsidP="00B675D2">
            <w:r w:rsidRPr="00B675D2">
              <w:t>Upgrade Water &amp; Sewer Systems</w:t>
            </w:r>
          </w:p>
        </w:tc>
        <w:tc>
          <w:tcPr>
            <w:tcW w:w="0" w:type="auto"/>
            <w:vAlign w:val="center"/>
            <w:hideMark/>
          </w:tcPr>
          <w:p w14:paraId="353360CB" w14:textId="77777777" w:rsidR="00B675D2" w:rsidRPr="00B675D2" w:rsidRDefault="00B675D2" w:rsidP="00B675D2">
            <w:r w:rsidRPr="00B675D2">
              <w:t>Complete asset inventory; Develop phased improvement plan</w:t>
            </w:r>
          </w:p>
        </w:tc>
        <w:tc>
          <w:tcPr>
            <w:tcW w:w="0" w:type="auto"/>
            <w:vAlign w:val="center"/>
            <w:hideMark/>
          </w:tcPr>
          <w:p w14:paraId="0F1518DA" w14:textId="0360EB87" w:rsidR="00B675D2" w:rsidRPr="00B675D2" w:rsidRDefault="007D0FC9" w:rsidP="00B675D2">
            <w:r>
              <w:t>Building and Development Committee</w:t>
            </w:r>
          </w:p>
        </w:tc>
        <w:tc>
          <w:tcPr>
            <w:tcW w:w="0" w:type="auto"/>
            <w:vAlign w:val="center"/>
            <w:hideMark/>
          </w:tcPr>
          <w:p w14:paraId="37671326" w14:textId="434C2971" w:rsidR="00B675D2" w:rsidRPr="00B675D2" w:rsidRDefault="00B675D2" w:rsidP="00B675D2">
            <w:r w:rsidRPr="00B675D2">
              <w:t>202</w:t>
            </w:r>
            <w:r w:rsidR="007A23EA">
              <w:t>6</w:t>
            </w:r>
            <w:r w:rsidRPr="00B675D2">
              <w:t>–20</w:t>
            </w:r>
            <w:r w:rsidR="008F147C">
              <w:t>28</w:t>
            </w:r>
          </w:p>
        </w:tc>
      </w:tr>
      <w:tr w:rsidR="003B35CE" w:rsidRPr="00B675D2" w14:paraId="69B18E8C" w14:textId="77777777">
        <w:trPr>
          <w:tblCellSpacing w:w="15" w:type="dxa"/>
        </w:trPr>
        <w:tc>
          <w:tcPr>
            <w:tcW w:w="0" w:type="auto"/>
            <w:vAlign w:val="center"/>
          </w:tcPr>
          <w:p w14:paraId="2567AD2C" w14:textId="258080B5" w:rsidR="003B35CE" w:rsidRPr="00B675D2" w:rsidRDefault="00EF583E" w:rsidP="00B675D2">
            <w:r>
              <w:t>Map underground utilities</w:t>
            </w:r>
          </w:p>
        </w:tc>
        <w:tc>
          <w:tcPr>
            <w:tcW w:w="0" w:type="auto"/>
            <w:vAlign w:val="center"/>
          </w:tcPr>
          <w:p w14:paraId="156B40C9" w14:textId="73508322" w:rsidR="003B35CE" w:rsidRPr="00B675D2" w:rsidRDefault="00EF583E" w:rsidP="00B675D2">
            <w:r>
              <w:t>Complete mapping of underground city utilities</w:t>
            </w:r>
          </w:p>
        </w:tc>
        <w:tc>
          <w:tcPr>
            <w:tcW w:w="0" w:type="auto"/>
            <w:vAlign w:val="center"/>
          </w:tcPr>
          <w:p w14:paraId="4EA123A7" w14:textId="0ED82C33" w:rsidR="003B35CE" w:rsidRDefault="00EF583E" w:rsidP="00B675D2">
            <w:r>
              <w:t>Building and Development Committee</w:t>
            </w:r>
          </w:p>
        </w:tc>
        <w:tc>
          <w:tcPr>
            <w:tcW w:w="0" w:type="auto"/>
            <w:vAlign w:val="center"/>
          </w:tcPr>
          <w:p w14:paraId="16E1A632" w14:textId="16D0C4A8" w:rsidR="003B35CE" w:rsidRPr="00B675D2" w:rsidRDefault="00EF583E" w:rsidP="00B675D2">
            <w:r>
              <w:t>2026-2028</w:t>
            </w:r>
          </w:p>
        </w:tc>
      </w:tr>
      <w:tr w:rsidR="00B675D2" w:rsidRPr="00B675D2" w14:paraId="4BCB94C8" w14:textId="77777777">
        <w:trPr>
          <w:tblCellSpacing w:w="15" w:type="dxa"/>
        </w:trPr>
        <w:tc>
          <w:tcPr>
            <w:tcW w:w="0" w:type="auto"/>
            <w:vAlign w:val="center"/>
            <w:hideMark/>
          </w:tcPr>
          <w:p w14:paraId="5536F12A" w14:textId="77777777" w:rsidR="00B675D2" w:rsidRPr="00B675D2" w:rsidRDefault="00B675D2" w:rsidP="00B675D2">
            <w:r w:rsidRPr="00B675D2">
              <w:t>Leverage Funding Opportunities</w:t>
            </w:r>
          </w:p>
        </w:tc>
        <w:tc>
          <w:tcPr>
            <w:tcW w:w="0" w:type="auto"/>
            <w:vAlign w:val="center"/>
            <w:hideMark/>
          </w:tcPr>
          <w:p w14:paraId="37CEB492" w14:textId="77777777" w:rsidR="00B675D2" w:rsidRPr="00B675D2" w:rsidRDefault="00B675D2" w:rsidP="00B675D2">
            <w:r w:rsidRPr="00B675D2">
              <w:t>Pursue state/federal grants for all major capital projects</w:t>
            </w:r>
          </w:p>
        </w:tc>
        <w:tc>
          <w:tcPr>
            <w:tcW w:w="0" w:type="auto"/>
            <w:vAlign w:val="center"/>
            <w:hideMark/>
          </w:tcPr>
          <w:p w14:paraId="0FF2167D" w14:textId="7B9CE93E" w:rsidR="00B675D2" w:rsidRPr="00B675D2" w:rsidRDefault="00B675D2" w:rsidP="00B675D2">
            <w:r w:rsidRPr="00B675D2">
              <w:t xml:space="preserve">Mayor; </w:t>
            </w:r>
            <w:r w:rsidR="004A54D1">
              <w:t>City Council</w:t>
            </w:r>
          </w:p>
        </w:tc>
        <w:tc>
          <w:tcPr>
            <w:tcW w:w="0" w:type="auto"/>
            <w:vAlign w:val="center"/>
            <w:hideMark/>
          </w:tcPr>
          <w:p w14:paraId="55557DE5" w14:textId="74ED5388" w:rsidR="00B675D2" w:rsidRPr="00B675D2" w:rsidRDefault="00D30712" w:rsidP="00B675D2">
            <w:r w:rsidRPr="00B675D2">
              <w:t>Annually</w:t>
            </w:r>
          </w:p>
        </w:tc>
      </w:tr>
    </w:tbl>
    <w:p w14:paraId="261B1CA9" w14:textId="77777777" w:rsidR="004A54D1" w:rsidRDefault="004A54D1" w:rsidP="00B675D2"/>
    <w:p w14:paraId="5C178749" w14:textId="1EC27BFB" w:rsidR="00B675D2" w:rsidRPr="00B675D2" w:rsidRDefault="00B675D2" w:rsidP="00B675D2">
      <w:r w:rsidRPr="00B675D2">
        <w:t>The table highlights infrastructure goals underpinned by asset management and a focus on resilience—ensuring Bloomington is not only addressing immediate needs, but positioning itself for future shocks and stresses. Proactive project identification and grant-writing capacity are essential given competitive state and federal grant landscapes.</w:t>
      </w:r>
    </w:p>
    <w:p w14:paraId="606081C8" w14:textId="77777777" w:rsidR="00B675D2" w:rsidRPr="00B675D2" w:rsidRDefault="00B675D2" w:rsidP="00B675D2">
      <w:r w:rsidRPr="00B675D2">
        <w:t>Water and wastewater improvements must consider both present system capacity and protection of Bloomington’s aquifers, aligning with Idaho Department of Environmental Quality recommendations. Energy planning involves coordination with regional utilities to identify distributed renewable opportunities and resilient public facility retrofits.</w:t>
      </w:r>
    </w:p>
    <w:p w14:paraId="715FCAEB" w14:textId="77777777" w:rsidR="00B675D2" w:rsidRPr="00B675D2" w:rsidRDefault="00000000" w:rsidP="00B675D2">
      <w:r>
        <w:rPr>
          <w:noProof/>
        </w:rPr>
        <w:pict w14:anchorId="4748CA0E">
          <v:rect id="_x0000_i1032" style="width:0;height:1.5pt" o:hralign="center" o:hrstd="t" o:hr="t" fillcolor="#a0a0a0" stroked="f"/>
        </w:pict>
      </w:r>
    </w:p>
    <w:p w14:paraId="1DBCE773" w14:textId="77777777" w:rsidR="001F6B32" w:rsidRDefault="001F6B32" w:rsidP="00B675D2">
      <w:pPr>
        <w:rPr>
          <w:b/>
          <w:bCs/>
        </w:rPr>
      </w:pPr>
    </w:p>
    <w:p w14:paraId="112CCBB1" w14:textId="77777777" w:rsidR="001F6B32" w:rsidRDefault="001F6B32" w:rsidP="00B675D2">
      <w:pPr>
        <w:rPr>
          <w:b/>
          <w:bCs/>
        </w:rPr>
      </w:pPr>
    </w:p>
    <w:p w14:paraId="02F87D7B" w14:textId="7307E6C3" w:rsidR="00B675D2" w:rsidRPr="00B675D2" w:rsidRDefault="00B675D2" w:rsidP="00B675D2">
      <w:pPr>
        <w:rPr>
          <w:b/>
          <w:bCs/>
        </w:rPr>
      </w:pPr>
      <w:r w:rsidRPr="00B675D2">
        <w:rPr>
          <w:b/>
          <w:bCs/>
        </w:rPr>
        <w:lastRenderedPageBreak/>
        <w:t>Environmental Sustainability: Stewarding Resources for the Future</w:t>
      </w:r>
    </w:p>
    <w:p w14:paraId="11F27E93" w14:textId="77777777" w:rsidR="00B675D2" w:rsidRPr="00B675D2" w:rsidRDefault="00B675D2" w:rsidP="00B675D2">
      <w:pPr>
        <w:rPr>
          <w:b/>
          <w:bCs/>
        </w:rPr>
      </w:pPr>
      <w:r w:rsidRPr="00B675D2">
        <w:rPr>
          <w:b/>
          <w:bCs/>
        </w:rPr>
        <w:t>1. Environmental Context and Priorities</w:t>
      </w:r>
    </w:p>
    <w:p w14:paraId="1EEE8B4C" w14:textId="3358768B" w:rsidR="00B675D2" w:rsidRPr="00B675D2" w:rsidRDefault="00B675D2" w:rsidP="00B675D2">
      <w:r w:rsidRPr="00B675D2">
        <w:t xml:space="preserve">Idaho’s unique environment—open range, mountain backdrops, river corridors—forms a critical part of Bloomington’s identity and economic base. </w:t>
      </w:r>
    </w:p>
    <w:p w14:paraId="4062AE70" w14:textId="77777777" w:rsidR="00B675D2" w:rsidRPr="00B675D2" w:rsidRDefault="00B675D2" w:rsidP="00B675D2">
      <w:r w:rsidRPr="00B675D2">
        <w:t>Rural best practices in environmental stewardship for Idaho advocate:</w:t>
      </w:r>
    </w:p>
    <w:p w14:paraId="24CAD1A3" w14:textId="77777777" w:rsidR="00B675D2" w:rsidRPr="00B675D2" w:rsidRDefault="00B675D2" w:rsidP="00B675D2">
      <w:pPr>
        <w:numPr>
          <w:ilvl w:val="0"/>
          <w:numId w:val="23"/>
        </w:numPr>
      </w:pPr>
      <w:r w:rsidRPr="00B675D2">
        <w:rPr>
          <w:b/>
          <w:bCs/>
        </w:rPr>
        <w:t>Protection of surface and groundwater quality</w:t>
      </w:r>
    </w:p>
    <w:p w14:paraId="13D9109E" w14:textId="77777777" w:rsidR="00B675D2" w:rsidRPr="00B675D2" w:rsidRDefault="00B675D2" w:rsidP="00B675D2">
      <w:pPr>
        <w:numPr>
          <w:ilvl w:val="0"/>
          <w:numId w:val="23"/>
        </w:numPr>
      </w:pPr>
      <w:r w:rsidRPr="00B675D2">
        <w:rPr>
          <w:b/>
          <w:bCs/>
        </w:rPr>
        <w:t>Riparian corridor management and open space preservation</w:t>
      </w:r>
    </w:p>
    <w:p w14:paraId="522B8297" w14:textId="77777777" w:rsidR="00B675D2" w:rsidRPr="00B675D2" w:rsidRDefault="00B675D2" w:rsidP="00B675D2">
      <w:r w:rsidRPr="00B675D2">
        <w:t>Bloomington’s plan thus prioritizes resilient ecosystem management and resource conservation.</w:t>
      </w:r>
    </w:p>
    <w:p w14:paraId="6A3DCF38" w14:textId="77777777" w:rsidR="00B675D2" w:rsidRPr="00B675D2" w:rsidRDefault="00B675D2" w:rsidP="00B675D2">
      <w:pPr>
        <w:rPr>
          <w:b/>
          <w:bCs/>
        </w:rPr>
      </w:pPr>
      <w:r w:rsidRPr="00B675D2">
        <w:rPr>
          <w:b/>
          <w:bCs/>
        </w:rPr>
        <w:t>2. Environmental Objectives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9"/>
        <w:gridCol w:w="4126"/>
        <w:gridCol w:w="2527"/>
        <w:gridCol w:w="1098"/>
      </w:tblGrid>
      <w:tr w:rsidR="00B675D2" w:rsidRPr="00B675D2" w14:paraId="29937AC0" w14:textId="77777777">
        <w:trPr>
          <w:tblHeader/>
          <w:tblCellSpacing w:w="15" w:type="dxa"/>
        </w:trPr>
        <w:tc>
          <w:tcPr>
            <w:tcW w:w="0" w:type="auto"/>
            <w:vAlign w:val="center"/>
            <w:hideMark/>
          </w:tcPr>
          <w:p w14:paraId="6043748E" w14:textId="77777777" w:rsidR="00B675D2" w:rsidRPr="00B675D2" w:rsidRDefault="00B675D2" w:rsidP="00B675D2">
            <w:pPr>
              <w:rPr>
                <w:b/>
                <w:bCs/>
              </w:rPr>
            </w:pPr>
            <w:r w:rsidRPr="00B675D2">
              <w:rPr>
                <w:b/>
                <w:bCs/>
              </w:rPr>
              <w:t>Objective</w:t>
            </w:r>
          </w:p>
        </w:tc>
        <w:tc>
          <w:tcPr>
            <w:tcW w:w="0" w:type="auto"/>
            <w:vAlign w:val="center"/>
            <w:hideMark/>
          </w:tcPr>
          <w:p w14:paraId="16DB43EE" w14:textId="77777777" w:rsidR="00B675D2" w:rsidRPr="00B675D2" w:rsidRDefault="00B675D2" w:rsidP="00B675D2">
            <w:pPr>
              <w:rPr>
                <w:b/>
                <w:bCs/>
              </w:rPr>
            </w:pPr>
            <w:r w:rsidRPr="00B675D2">
              <w:rPr>
                <w:b/>
                <w:bCs/>
              </w:rPr>
              <w:t>Strategy</w:t>
            </w:r>
          </w:p>
        </w:tc>
        <w:tc>
          <w:tcPr>
            <w:tcW w:w="0" w:type="auto"/>
            <w:vAlign w:val="center"/>
            <w:hideMark/>
          </w:tcPr>
          <w:p w14:paraId="74C9BADA" w14:textId="77777777" w:rsidR="00B675D2" w:rsidRPr="00B675D2" w:rsidRDefault="00B675D2" w:rsidP="00B675D2">
            <w:pPr>
              <w:rPr>
                <w:b/>
                <w:bCs/>
              </w:rPr>
            </w:pPr>
            <w:r w:rsidRPr="00B675D2">
              <w:rPr>
                <w:b/>
                <w:bCs/>
              </w:rPr>
              <w:t>Responsible Party</w:t>
            </w:r>
          </w:p>
        </w:tc>
        <w:tc>
          <w:tcPr>
            <w:tcW w:w="0" w:type="auto"/>
            <w:vAlign w:val="center"/>
            <w:hideMark/>
          </w:tcPr>
          <w:p w14:paraId="7A1242A4" w14:textId="77777777" w:rsidR="00B675D2" w:rsidRPr="00B675D2" w:rsidRDefault="00B675D2" w:rsidP="00B675D2">
            <w:pPr>
              <w:rPr>
                <w:b/>
                <w:bCs/>
              </w:rPr>
            </w:pPr>
            <w:r w:rsidRPr="00B675D2">
              <w:rPr>
                <w:b/>
                <w:bCs/>
              </w:rPr>
              <w:t>Timeline</w:t>
            </w:r>
          </w:p>
        </w:tc>
      </w:tr>
      <w:tr w:rsidR="00B675D2" w:rsidRPr="00B675D2" w14:paraId="0E2F8C4C" w14:textId="77777777">
        <w:trPr>
          <w:tblCellSpacing w:w="15" w:type="dxa"/>
        </w:trPr>
        <w:tc>
          <w:tcPr>
            <w:tcW w:w="0" w:type="auto"/>
            <w:vAlign w:val="center"/>
            <w:hideMark/>
          </w:tcPr>
          <w:p w14:paraId="19D8E441" w14:textId="77777777" w:rsidR="00B675D2" w:rsidRPr="00B675D2" w:rsidRDefault="00B675D2" w:rsidP="00B675D2">
            <w:r w:rsidRPr="00B675D2">
              <w:t>Protect Water Quality</w:t>
            </w:r>
          </w:p>
        </w:tc>
        <w:tc>
          <w:tcPr>
            <w:tcW w:w="0" w:type="auto"/>
            <w:vAlign w:val="center"/>
            <w:hideMark/>
          </w:tcPr>
          <w:p w14:paraId="30B9568C" w14:textId="77777777" w:rsidR="00B675D2" w:rsidRPr="00B675D2" w:rsidRDefault="00B675D2" w:rsidP="00B675D2">
            <w:r w:rsidRPr="00B675D2">
              <w:t>Update wastewater/stormwater codes; educational outreach</w:t>
            </w:r>
          </w:p>
        </w:tc>
        <w:tc>
          <w:tcPr>
            <w:tcW w:w="0" w:type="auto"/>
            <w:vAlign w:val="center"/>
            <w:hideMark/>
          </w:tcPr>
          <w:p w14:paraId="513A16E5" w14:textId="65DFEA64" w:rsidR="00B675D2" w:rsidRPr="00B675D2" w:rsidRDefault="00F265B4" w:rsidP="00B675D2">
            <w:r>
              <w:t>Building and Development Committee</w:t>
            </w:r>
          </w:p>
        </w:tc>
        <w:tc>
          <w:tcPr>
            <w:tcW w:w="0" w:type="auto"/>
            <w:vAlign w:val="center"/>
            <w:hideMark/>
          </w:tcPr>
          <w:p w14:paraId="3C8D2775" w14:textId="77777777" w:rsidR="00B675D2" w:rsidRPr="00B675D2" w:rsidRDefault="00B675D2" w:rsidP="00B675D2">
            <w:r w:rsidRPr="00B675D2">
              <w:t>2026–2028</w:t>
            </w:r>
          </w:p>
        </w:tc>
      </w:tr>
    </w:tbl>
    <w:p w14:paraId="5BB8ECEE" w14:textId="77777777" w:rsidR="00F265B4" w:rsidRDefault="00F265B4" w:rsidP="00B675D2"/>
    <w:p w14:paraId="6AD1A7BE" w14:textId="1DC2F795" w:rsidR="00B675D2" w:rsidRPr="00B675D2" w:rsidRDefault="00B675D2" w:rsidP="00B675D2">
      <w:r w:rsidRPr="00B675D2">
        <w:t>Each objective addresses both regulatory approaches—such as updating codes—and voluntary programs</w:t>
      </w:r>
      <w:r w:rsidR="00EC13D0">
        <w:t>.</w:t>
      </w:r>
      <w:r w:rsidRPr="00B675D2">
        <w:t xml:space="preserve"> </w:t>
      </w:r>
      <w:r w:rsidR="009E7972">
        <w:t xml:space="preserve"> </w:t>
      </w:r>
      <w:r w:rsidRPr="00B675D2">
        <w:t>The plan seeks alignment with county-level and regional plans, as well as consistency with state guidance on climate resilience.</w:t>
      </w:r>
    </w:p>
    <w:p w14:paraId="081D0309" w14:textId="77777777" w:rsidR="00B675D2" w:rsidRPr="00B675D2" w:rsidRDefault="00B675D2" w:rsidP="00B675D2">
      <w:r w:rsidRPr="00B675D2">
        <w:t>Water resource management, in particular, involves comprehensive action: securing drinking water supply, managing runoff, and protecting riparian areas, which are subject not only to local pressures but also regional hydrological dynamics. Wildfire and drought adaptation are built into land use, building code, and emergency management policies.</w:t>
      </w:r>
    </w:p>
    <w:p w14:paraId="5C0A3008" w14:textId="77777777" w:rsidR="00B675D2" w:rsidRPr="00B675D2" w:rsidRDefault="00B675D2" w:rsidP="00B675D2">
      <w:r w:rsidRPr="00B675D2">
        <w:t>While comprehensive plans are primarily guidance documents, they play a key coordinating role between city actions and the broader landscape of state and private conservation initiatives, making this an area for ongoing cross-sector partnership.</w:t>
      </w:r>
    </w:p>
    <w:p w14:paraId="0DE192DA" w14:textId="77777777" w:rsidR="00B675D2" w:rsidRPr="00B675D2" w:rsidRDefault="00000000" w:rsidP="00B675D2">
      <w:r>
        <w:rPr>
          <w:noProof/>
        </w:rPr>
        <w:pict w14:anchorId="4E7C5778">
          <v:rect id="_x0000_i1033" style="width:0;height:1.5pt" o:hralign="center" o:hrstd="t" o:hr="t" fillcolor="#a0a0a0" stroked="f"/>
        </w:pict>
      </w:r>
    </w:p>
    <w:p w14:paraId="4E35789A" w14:textId="77777777" w:rsidR="001F6B32" w:rsidRDefault="001F6B32" w:rsidP="00B675D2">
      <w:pPr>
        <w:rPr>
          <w:b/>
          <w:bCs/>
        </w:rPr>
      </w:pPr>
    </w:p>
    <w:p w14:paraId="3718B4C2" w14:textId="77777777" w:rsidR="001F6B32" w:rsidRDefault="001F6B32" w:rsidP="00B675D2">
      <w:pPr>
        <w:rPr>
          <w:b/>
          <w:bCs/>
        </w:rPr>
      </w:pPr>
    </w:p>
    <w:p w14:paraId="7F14F48A" w14:textId="77777777" w:rsidR="001F6B32" w:rsidRDefault="001F6B32" w:rsidP="00B675D2">
      <w:pPr>
        <w:rPr>
          <w:b/>
          <w:bCs/>
        </w:rPr>
      </w:pPr>
    </w:p>
    <w:p w14:paraId="21CB76E9" w14:textId="49DB59E8" w:rsidR="00B675D2" w:rsidRPr="00B675D2" w:rsidRDefault="00B675D2" w:rsidP="00B675D2">
      <w:pPr>
        <w:rPr>
          <w:b/>
          <w:bCs/>
        </w:rPr>
      </w:pPr>
      <w:r w:rsidRPr="00B675D2">
        <w:rPr>
          <w:b/>
          <w:bCs/>
        </w:rPr>
        <w:lastRenderedPageBreak/>
        <w:t>Economic Development: Building Vibrant, Durable Rural Economies</w:t>
      </w:r>
    </w:p>
    <w:p w14:paraId="159D8796" w14:textId="77777777" w:rsidR="00B675D2" w:rsidRPr="00B675D2" w:rsidRDefault="00B675D2" w:rsidP="00B675D2">
      <w:pPr>
        <w:rPr>
          <w:b/>
          <w:bCs/>
        </w:rPr>
      </w:pPr>
      <w:r w:rsidRPr="00B675D2">
        <w:rPr>
          <w:b/>
          <w:bCs/>
        </w:rPr>
        <w:t>1. Economic Trends and Strategic Direction</w:t>
      </w:r>
    </w:p>
    <w:p w14:paraId="57674F25" w14:textId="66158C15" w:rsidR="00B675D2" w:rsidRPr="00B675D2" w:rsidRDefault="00B675D2" w:rsidP="00B675D2">
      <w:r w:rsidRPr="00B675D2">
        <w:t xml:space="preserve">Bloomington’s historical economic foundations—ranching, small-scale agriculture, related services—mirror rural Idaho more broadly. </w:t>
      </w:r>
      <w:r w:rsidR="00564202">
        <w:t xml:space="preserve"> </w:t>
      </w:r>
      <w:r w:rsidRPr="00B675D2">
        <w:t>Yet 202</w:t>
      </w:r>
      <w:r w:rsidR="00FE6D9A">
        <w:t>6</w:t>
      </w:r>
      <w:r w:rsidRPr="00B675D2">
        <w:t xml:space="preserve"> brings new opportunities and challenges: remote work, recreation/tourism, and regional industry shifts offer potential, while population decline, youth out-migration, and labor force shortages remain persistent risks.</w:t>
      </w:r>
    </w:p>
    <w:p w14:paraId="31542D7D" w14:textId="77777777" w:rsidR="00B675D2" w:rsidRPr="00B675D2" w:rsidRDefault="00B675D2" w:rsidP="00B675D2">
      <w:r w:rsidRPr="00B675D2">
        <w:t>Recent Idaho rural economic development strategies promote:</w:t>
      </w:r>
    </w:p>
    <w:p w14:paraId="0561CF3C" w14:textId="77777777" w:rsidR="00B675D2" w:rsidRPr="00B675D2" w:rsidRDefault="00B675D2" w:rsidP="00B675D2">
      <w:pPr>
        <w:numPr>
          <w:ilvl w:val="0"/>
          <w:numId w:val="24"/>
        </w:numPr>
      </w:pPr>
      <w:r w:rsidRPr="00B675D2">
        <w:rPr>
          <w:b/>
          <w:bCs/>
        </w:rPr>
        <w:t>Support for agricultural innovation and value-added production</w:t>
      </w:r>
    </w:p>
    <w:p w14:paraId="087E9E65" w14:textId="77777777" w:rsidR="00B675D2" w:rsidRPr="00B675D2" w:rsidRDefault="00B675D2" w:rsidP="00B675D2">
      <w:pPr>
        <w:numPr>
          <w:ilvl w:val="0"/>
          <w:numId w:val="24"/>
        </w:numPr>
      </w:pPr>
      <w:r w:rsidRPr="00B675D2">
        <w:rPr>
          <w:b/>
          <w:bCs/>
        </w:rPr>
        <w:t>Careful targeting of recreation and tourism compatible with rural character</w:t>
      </w:r>
    </w:p>
    <w:p w14:paraId="5E1C5310" w14:textId="77777777" w:rsidR="00B675D2" w:rsidRPr="00B675D2" w:rsidRDefault="00B675D2" w:rsidP="00B675D2">
      <w:r w:rsidRPr="00B675D2">
        <w:t>These are reflected in the statewide Idaho Rural Economic and Community Development Strategy and multiple regional economic development plans.</w:t>
      </w:r>
    </w:p>
    <w:p w14:paraId="7FAB6C6B" w14:textId="77777777" w:rsidR="00B675D2" w:rsidRPr="00B675D2" w:rsidRDefault="00B675D2" w:rsidP="00B675D2">
      <w:pPr>
        <w:rPr>
          <w:b/>
          <w:bCs/>
        </w:rPr>
      </w:pPr>
      <w:r w:rsidRPr="00B675D2">
        <w:rPr>
          <w:b/>
          <w:bCs/>
        </w:rPr>
        <w:t>2. Economic Development Objectives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79"/>
        <w:gridCol w:w="4132"/>
        <w:gridCol w:w="1833"/>
        <w:gridCol w:w="1016"/>
      </w:tblGrid>
      <w:tr w:rsidR="00B675D2" w:rsidRPr="00B675D2" w14:paraId="53437B80" w14:textId="77777777">
        <w:trPr>
          <w:tblHeader/>
          <w:tblCellSpacing w:w="15" w:type="dxa"/>
        </w:trPr>
        <w:tc>
          <w:tcPr>
            <w:tcW w:w="0" w:type="auto"/>
            <w:vAlign w:val="center"/>
            <w:hideMark/>
          </w:tcPr>
          <w:p w14:paraId="6E6B3C61" w14:textId="77777777" w:rsidR="00B675D2" w:rsidRPr="00B675D2" w:rsidRDefault="00B675D2" w:rsidP="00B675D2">
            <w:pPr>
              <w:rPr>
                <w:b/>
                <w:bCs/>
              </w:rPr>
            </w:pPr>
            <w:r w:rsidRPr="00B675D2">
              <w:rPr>
                <w:b/>
                <w:bCs/>
              </w:rPr>
              <w:t>Objective</w:t>
            </w:r>
          </w:p>
        </w:tc>
        <w:tc>
          <w:tcPr>
            <w:tcW w:w="0" w:type="auto"/>
            <w:vAlign w:val="center"/>
            <w:hideMark/>
          </w:tcPr>
          <w:p w14:paraId="22F84AA7" w14:textId="77777777" w:rsidR="00B675D2" w:rsidRPr="00B675D2" w:rsidRDefault="00B675D2" w:rsidP="00B675D2">
            <w:pPr>
              <w:rPr>
                <w:b/>
                <w:bCs/>
              </w:rPr>
            </w:pPr>
            <w:r w:rsidRPr="00B675D2">
              <w:rPr>
                <w:b/>
                <w:bCs/>
              </w:rPr>
              <w:t>Strategy</w:t>
            </w:r>
          </w:p>
        </w:tc>
        <w:tc>
          <w:tcPr>
            <w:tcW w:w="0" w:type="auto"/>
            <w:vAlign w:val="center"/>
            <w:hideMark/>
          </w:tcPr>
          <w:p w14:paraId="2A54B46C" w14:textId="77777777" w:rsidR="00B675D2" w:rsidRPr="00B675D2" w:rsidRDefault="00B675D2" w:rsidP="00B675D2">
            <w:pPr>
              <w:rPr>
                <w:b/>
                <w:bCs/>
              </w:rPr>
            </w:pPr>
            <w:r w:rsidRPr="00B675D2">
              <w:rPr>
                <w:b/>
                <w:bCs/>
              </w:rPr>
              <w:t>Responsible Party</w:t>
            </w:r>
          </w:p>
        </w:tc>
        <w:tc>
          <w:tcPr>
            <w:tcW w:w="0" w:type="auto"/>
            <w:vAlign w:val="center"/>
            <w:hideMark/>
          </w:tcPr>
          <w:p w14:paraId="0E9A5F37" w14:textId="77777777" w:rsidR="00B675D2" w:rsidRPr="00B675D2" w:rsidRDefault="00B675D2" w:rsidP="00B675D2">
            <w:pPr>
              <w:rPr>
                <w:b/>
                <w:bCs/>
              </w:rPr>
            </w:pPr>
            <w:r w:rsidRPr="00B675D2">
              <w:rPr>
                <w:b/>
                <w:bCs/>
              </w:rPr>
              <w:t>Timeline</w:t>
            </w:r>
          </w:p>
        </w:tc>
      </w:tr>
      <w:tr w:rsidR="00B675D2" w:rsidRPr="00B675D2" w14:paraId="2C6B831A" w14:textId="77777777">
        <w:trPr>
          <w:tblCellSpacing w:w="15" w:type="dxa"/>
        </w:trPr>
        <w:tc>
          <w:tcPr>
            <w:tcW w:w="0" w:type="auto"/>
            <w:vAlign w:val="center"/>
            <w:hideMark/>
          </w:tcPr>
          <w:p w14:paraId="4781634B" w14:textId="77777777" w:rsidR="00B675D2" w:rsidRPr="00B675D2" w:rsidRDefault="00B675D2" w:rsidP="00B675D2">
            <w:r w:rsidRPr="00B675D2">
              <w:t>Target Recreation &amp; Tourism</w:t>
            </w:r>
          </w:p>
        </w:tc>
        <w:tc>
          <w:tcPr>
            <w:tcW w:w="0" w:type="auto"/>
            <w:vAlign w:val="center"/>
            <w:hideMark/>
          </w:tcPr>
          <w:p w14:paraId="49CB2038" w14:textId="77777777" w:rsidR="00B675D2" w:rsidRPr="00B675D2" w:rsidRDefault="00B675D2" w:rsidP="00B675D2">
            <w:r w:rsidRPr="00B675D2">
              <w:t>Develop plan for low-impact, heritage-friendly tourism</w:t>
            </w:r>
          </w:p>
        </w:tc>
        <w:tc>
          <w:tcPr>
            <w:tcW w:w="0" w:type="auto"/>
            <w:vAlign w:val="center"/>
            <w:hideMark/>
          </w:tcPr>
          <w:p w14:paraId="109FD45F" w14:textId="04843984" w:rsidR="00B675D2" w:rsidRPr="00B675D2" w:rsidRDefault="008B1815" w:rsidP="00B675D2">
            <w:r>
              <w:t>City Council</w:t>
            </w:r>
          </w:p>
        </w:tc>
        <w:tc>
          <w:tcPr>
            <w:tcW w:w="0" w:type="auto"/>
            <w:vAlign w:val="center"/>
            <w:hideMark/>
          </w:tcPr>
          <w:p w14:paraId="5EA2F3B0" w14:textId="4C5D471A" w:rsidR="00B675D2" w:rsidRPr="00B675D2" w:rsidRDefault="00B675D2" w:rsidP="00B675D2">
            <w:r w:rsidRPr="00B675D2">
              <w:t>202</w:t>
            </w:r>
            <w:r w:rsidR="002D2782">
              <w:t>7</w:t>
            </w:r>
          </w:p>
        </w:tc>
      </w:tr>
    </w:tbl>
    <w:p w14:paraId="36BEF4BF" w14:textId="77777777" w:rsidR="002D2782" w:rsidRDefault="002D2782" w:rsidP="00B675D2"/>
    <w:p w14:paraId="3DDA9078" w14:textId="317D80B2" w:rsidR="00B675D2" w:rsidRPr="00B675D2" w:rsidRDefault="00B675D2" w:rsidP="00B675D2">
      <w:r w:rsidRPr="00B675D2">
        <w:t>Agricultural innovation—supporting access to direct markets, value-added processing, and on-site sales—remains a backbone priority. This not only anchors economic stability but ensures continued stewardship of land and tradition.</w:t>
      </w:r>
    </w:p>
    <w:p w14:paraId="63BD7D4F" w14:textId="77777777" w:rsidR="00B675D2" w:rsidRPr="00B675D2" w:rsidRDefault="00B675D2" w:rsidP="00B675D2">
      <w:r w:rsidRPr="00B675D2">
        <w:t>Careful planning for recreation/tourism ensures compatible growth—environmentally sensitive, with a focus on heritage experiences over mass tourism. Finally, all economic objectives highlight the importance of cross-jurisdictional cooperation in Idaho’s rural context.</w:t>
      </w:r>
    </w:p>
    <w:p w14:paraId="777D2094" w14:textId="77777777" w:rsidR="00B675D2" w:rsidRPr="00B675D2" w:rsidRDefault="00000000" w:rsidP="00B675D2">
      <w:r>
        <w:rPr>
          <w:noProof/>
        </w:rPr>
        <w:pict w14:anchorId="1334675F">
          <v:rect id="_x0000_i1034" style="width:0;height:1.5pt" o:hralign="center" o:hrstd="t" o:hr="t" fillcolor="#a0a0a0" stroked="f"/>
        </w:pict>
      </w:r>
    </w:p>
    <w:p w14:paraId="1657C8A7" w14:textId="77777777" w:rsidR="00B675D2" w:rsidRPr="00B675D2" w:rsidRDefault="00B675D2" w:rsidP="00B675D2">
      <w:pPr>
        <w:rPr>
          <w:b/>
          <w:bCs/>
        </w:rPr>
      </w:pPr>
      <w:r w:rsidRPr="00B675D2">
        <w:rPr>
          <w:b/>
          <w:bCs/>
        </w:rPr>
        <w:t>Community Engagement: Inclusion and Civic Vitality</w:t>
      </w:r>
    </w:p>
    <w:p w14:paraId="40B95DF3" w14:textId="77777777" w:rsidR="00B675D2" w:rsidRPr="00B675D2" w:rsidRDefault="00B675D2" w:rsidP="00B675D2">
      <w:pPr>
        <w:rPr>
          <w:b/>
          <w:bCs/>
        </w:rPr>
      </w:pPr>
      <w:r w:rsidRPr="00B675D2">
        <w:rPr>
          <w:b/>
          <w:bCs/>
        </w:rPr>
        <w:t>1. Community Engagement in Rural Planning</w:t>
      </w:r>
    </w:p>
    <w:p w14:paraId="2255FE5C" w14:textId="77777777" w:rsidR="00B675D2" w:rsidRPr="00B675D2" w:rsidRDefault="00B675D2" w:rsidP="00B675D2">
      <w:r w:rsidRPr="00B675D2">
        <w:t xml:space="preserve">The 2014 Plan established a foundation for public input, but new best practices and technologies—especially after the pandemic—increase opportunities for broader, more </w:t>
      </w:r>
      <w:r w:rsidRPr="00B675D2">
        <w:lastRenderedPageBreak/>
        <w:t>meaningful participation. Successful rural planning now integrates both traditional engagement (open houses, workshops, in-person surveys) and digital avenues (virtual town halls, online surveys, targeted outreach via social media).</w:t>
      </w:r>
    </w:p>
    <w:p w14:paraId="580BC30C" w14:textId="77777777" w:rsidR="00B675D2" w:rsidRPr="00B675D2" w:rsidRDefault="00B675D2" w:rsidP="00B675D2">
      <w:r w:rsidRPr="00B675D2">
        <w:t>Bloomington’s demographic mix, with aging residents and newer arrivals, demands accessible and varied engagement strategies. Idaho’s rural planning leaders advocate continuous, two-way communication, not merely one-time plan adoption.</w:t>
      </w:r>
    </w:p>
    <w:p w14:paraId="564682F8" w14:textId="77777777" w:rsidR="00B675D2" w:rsidRPr="00B675D2" w:rsidRDefault="00B675D2" w:rsidP="00B675D2">
      <w:pPr>
        <w:rPr>
          <w:b/>
          <w:bCs/>
        </w:rPr>
      </w:pPr>
      <w:r w:rsidRPr="00B675D2">
        <w:rPr>
          <w:b/>
          <w:bCs/>
        </w:rPr>
        <w:t>2. Engagement Objectives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1"/>
        <w:gridCol w:w="3950"/>
        <w:gridCol w:w="1933"/>
        <w:gridCol w:w="1016"/>
      </w:tblGrid>
      <w:tr w:rsidR="008A0CED" w:rsidRPr="00B675D2" w14:paraId="52FB7104" w14:textId="77777777">
        <w:trPr>
          <w:tblHeader/>
          <w:tblCellSpacing w:w="15" w:type="dxa"/>
        </w:trPr>
        <w:tc>
          <w:tcPr>
            <w:tcW w:w="0" w:type="auto"/>
            <w:vAlign w:val="center"/>
            <w:hideMark/>
          </w:tcPr>
          <w:p w14:paraId="6A1B353D" w14:textId="77777777" w:rsidR="00B675D2" w:rsidRPr="00B675D2" w:rsidRDefault="00B675D2" w:rsidP="00B675D2">
            <w:pPr>
              <w:rPr>
                <w:b/>
                <w:bCs/>
              </w:rPr>
            </w:pPr>
            <w:r w:rsidRPr="00B675D2">
              <w:rPr>
                <w:b/>
                <w:bCs/>
              </w:rPr>
              <w:t>Objective</w:t>
            </w:r>
          </w:p>
        </w:tc>
        <w:tc>
          <w:tcPr>
            <w:tcW w:w="0" w:type="auto"/>
            <w:vAlign w:val="center"/>
            <w:hideMark/>
          </w:tcPr>
          <w:p w14:paraId="30D65A80" w14:textId="77777777" w:rsidR="00B675D2" w:rsidRPr="00B675D2" w:rsidRDefault="00B675D2" w:rsidP="00B675D2">
            <w:pPr>
              <w:rPr>
                <w:b/>
                <w:bCs/>
              </w:rPr>
            </w:pPr>
            <w:r w:rsidRPr="00B675D2">
              <w:rPr>
                <w:b/>
                <w:bCs/>
              </w:rPr>
              <w:t>Strategy</w:t>
            </w:r>
          </w:p>
        </w:tc>
        <w:tc>
          <w:tcPr>
            <w:tcW w:w="0" w:type="auto"/>
            <w:vAlign w:val="center"/>
            <w:hideMark/>
          </w:tcPr>
          <w:p w14:paraId="2A5AA536" w14:textId="77777777" w:rsidR="00B675D2" w:rsidRPr="00B675D2" w:rsidRDefault="00B675D2" w:rsidP="00B675D2">
            <w:pPr>
              <w:rPr>
                <w:b/>
                <w:bCs/>
              </w:rPr>
            </w:pPr>
            <w:r w:rsidRPr="00B675D2">
              <w:rPr>
                <w:b/>
                <w:bCs/>
              </w:rPr>
              <w:t>Responsible Party</w:t>
            </w:r>
          </w:p>
        </w:tc>
        <w:tc>
          <w:tcPr>
            <w:tcW w:w="0" w:type="auto"/>
            <w:vAlign w:val="center"/>
            <w:hideMark/>
          </w:tcPr>
          <w:p w14:paraId="7280D1BF" w14:textId="77777777" w:rsidR="00B675D2" w:rsidRPr="00B675D2" w:rsidRDefault="00B675D2" w:rsidP="00B675D2">
            <w:pPr>
              <w:rPr>
                <w:b/>
                <w:bCs/>
              </w:rPr>
            </w:pPr>
            <w:r w:rsidRPr="00B675D2">
              <w:rPr>
                <w:b/>
                <w:bCs/>
              </w:rPr>
              <w:t>Timeline</w:t>
            </w:r>
          </w:p>
        </w:tc>
      </w:tr>
      <w:tr w:rsidR="008A0CED" w:rsidRPr="00B675D2" w14:paraId="44BEAA99" w14:textId="77777777">
        <w:trPr>
          <w:tblCellSpacing w:w="15" w:type="dxa"/>
        </w:trPr>
        <w:tc>
          <w:tcPr>
            <w:tcW w:w="0" w:type="auto"/>
            <w:vAlign w:val="center"/>
            <w:hideMark/>
          </w:tcPr>
          <w:p w14:paraId="132B7E32" w14:textId="77777777" w:rsidR="00B675D2" w:rsidRPr="00B675D2" w:rsidRDefault="00B675D2" w:rsidP="00B675D2">
            <w:r w:rsidRPr="00B675D2">
              <w:t>Broaden Participation</w:t>
            </w:r>
          </w:p>
        </w:tc>
        <w:tc>
          <w:tcPr>
            <w:tcW w:w="0" w:type="auto"/>
            <w:vAlign w:val="center"/>
            <w:hideMark/>
          </w:tcPr>
          <w:p w14:paraId="0695128B" w14:textId="0148B65C" w:rsidR="00B675D2" w:rsidRPr="00B675D2" w:rsidRDefault="00B675D2" w:rsidP="00B675D2">
            <w:r w:rsidRPr="00B675D2">
              <w:t xml:space="preserve">Hold at least </w:t>
            </w:r>
            <w:r w:rsidR="001C2FDB">
              <w:t>2</w:t>
            </w:r>
            <w:r w:rsidRPr="00B675D2">
              <w:t xml:space="preserve"> town halls for major initiatives</w:t>
            </w:r>
          </w:p>
        </w:tc>
        <w:tc>
          <w:tcPr>
            <w:tcW w:w="0" w:type="auto"/>
            <w:vAlign w:val="center"/>
            <w:hideMark/>
          </w:tcPr>
          <w:p w14:paraId="1FF511D3" w14:textId="3846EB18" w:rsidR="00B675D2" w:rsidRPr="00B675D2" w:rsidRDefault="008B1815" w:rsidP="00B675D2">
            <w:r>
              <w:t xml:space="preserve">City </w:t>
            </w:r>
            <w:r w:rsidR="00B675D2" w:rsidRPr="00B675D2">
              <w:t>Council; Staff</w:t>
            </w:r>
          </w:p>
        </w:tc>
        <w:tc>
          <w:tcPr>
            <w:tcW w:w="0" w:type="auto"/>
            <w:vAlign w:val="center"/>
            <w:hideMark/>
          </w:tcPr>
          <w:p w14:paraId="17B98F64" w14:textId="5ACA2890" w:rsidR="00B675D2" w:rsidRPr="00B675D2" w:rsidRDefault="00D30712" w:rsidP="00B675D2">
            <w:r w:rsidRPr="00B675D2">
              <w:t>Annually</w:t>
            </w:r>
          </w:p>
        </w:tc>
      </w:tr>
      <w:tr w:rsidR="008A0CED" w:rsidRPr="00B675D2" w14:paraId="60F723FC" w14:textId="77777777">
        <w:trPr>
          <w:tblCellSpacing w:w="15" w:type="dxa"/>
        </w:trPr>
        <w:tc>
          <w:tcPr>
            <w:tcW w:w="0" w:type="auto"/>
            <w:vAlign w:val="center"/>
            <w:hideMark/>
          </w:tcPr>
          <w:p w14:paraId="61A37D0E" w14:textId="77777777" w:rsidR="00B675D2" w:rsidRPr="00B675D2" w:rsidRDefault="00B675D2" w:rsidP="00B675D2">
            <w:r w:rsidRPr="00B675D2">
              <w:t>Increase Accessibility</w:t>
            </w:r>
          </w:p>
        </w:tc>
        <w:tc>
          <w:tcPr>
            <w:tcW w:w="0" w:type="auto"/>
            <w:vAlign w:val="center"/>
            <w:hideMark/>
          </w:tcPr>
          <w:p w14:paraId="58017B3E" w14:textId="71E623CE" w:rsidR="00B675D2" w:rsidRPr="00B675D2" w:rsidRDefault="008A0CED" w:rsidP="00B675D2">
            <w:r>
              <w:t>Simplify and streamline city website</w:t>
            </w:r>
          </w:p>
        </w:tc>
        <w:tc>
          <w:tcPr>
            <w:tcW w:w="0" w:type="auto"/>
            <w:vAlign w:val="center"/>
            <w:hideMark/>
          </w:tcPr>
          <w:p w14:paraId="4BE1EEB6" w14:textId="77777777" w:rsidR="00B675D2" w:rsidRPr="00B675D2" w:rsidRDefault="00B675D2" w:rsidP="00B675D2">
            <w:r w:rsidRPr="00B675D2">
              <w:t>City Clerk; IT Partner</w:t>
            </w:r>
          </w:p>
        </w:tc>
        <w:tc>
          <w:tcPr>
            <w:tcW w:w="0" w:type="auto"/>
            <w:vAlign w:val="center"/>
            <w:hideMark/>
          </w:tcPr>
          <w:p w14:paraId="358F9941" w14:textId="77777777" w:rsidR="00B675D2" w:rsidRPr="00B675D2" w:rsidRDefault="00B675D2" w:rsidP="00B675D2">
            <w:r w:rsidRPr="00B675D2">
              <w:t>2026</w:t>
            </w:r>
          </w:p>
        </w:tc>
      </w:tr>
      <w:tr w:rsidR="008A0CED" w:rsidRPr="00B675D2" w14:paraId="7C700C90" w14:textId="77777777">
        <w:trPr>
          <w:tblCellSpacing w:w="15" w:type="dxa"/>
        </w:trPr>
        <w:tc>
          <w:tcPr>
            <w:tcW w:w="0" w:type="auto"/>
            <w:vAlign w:val="center"/>
            <w:hideMark/>
          </w:tcPr>
          <w:p w14:paraId="4A243A7B" w14:textId="77777777" w:rsidR="00B675D2" w:rsidRPr="00B675D2" w:rsidRDefault="00B675D2" w:rsidP="00B675D2">
            <w:r w:rsidRPr="00B675D2">
              <w:t>Evaluate Inclusive Practices</w:t>
            </w:r>
          </w:p>
        </w:tc>
        <w:tc>
          <w:tcPr>
            <w:tcW w:w="0" w:type="auto"/>
            <w:vAlign w:val="center"/>
            <w:hideMark/>
          </w:tcPr>
          <w:p w14:paraId="6AE4592C" w14:textId="77777777" w:rsidR="00B675D2" w:rsidRPr="00B675D2" w:rsidRDefault="00B675D2" w:rsidP="00B675D2">
            <w:r w:rsidRPr="00B675D2">
              <w:t>Annual assessment of engagement effectiveness</w:t>
            </w:r>
          </w:p>
        </w:tc>
        <w:tc>
          <w:tcPr>
            <w:tcW w:w="0" w:type="auto"/>
            <w:vAlign w:val="center"/>
            <w:hideMark/>
          </w:tcPr>
          <w:p w14:paraId="553DDAAE" w14:textId="77777777" w:rsidR="00B675D2" w:rsidRPr="00B675D2" w:rsidRDefault="00B675D2" w:rsidP="00B675D2">
            <w:r w:rsidRPr="00B675D2">
              <w:t>City Council</w:t>
            </w:r>
          </w:p>
        </w:tc>
        <w:tc>
          <w:tcPr>
            <w:tcW w:w="0" w:type="auto"/>
            <w:vAlign w:val="center"/>
            <w:hideMark/>
          </w:tcPr>
          <w:p w14:paraId="40FB1C0E" w14:textId="77777777" w:rsidR="00B675D2" w:rsidRPr="00B675D2" w:rsidRDefault="00B675D2" w:rsidP="00B675D2">
            <w:r w:rsidRPr="00B675D2">
              <w:t>Annually</w:t>
            </w:r>
          </w:p>
        </w:tc>
      </w:tr>
    </w:tbl>
    <w:p w14:paraId="59E53B2C" w14:textId="77777777" w:rsidR="001C2FDB" w:rsidRDefault="001C2FDB" w:rsidP="00B675D2"/>
    <w:p w14:paraId="719EFB74" w14:textId="402B5BE3" w:rsidR="00B675D2" w:rsidRPr="00B675D2" w:rsidRDefault="00B675D2" w:rsidP="00B675D2">
      <w:r w:rsidRPr="00B675D2">
        <w:t xml:space="preserve">These measures are designed to ensure that not only existing residents but also newcomers, youth, and </w:t>
      </w:r>
      <w:r w:rsidR="009407D6">
        <w:t>others</w:t>
      </w:r>
      <w:r w:rsidRPr="00B675D2">
        <w:t xml:space="preserve"> have input into the planning process. Evaluative mechanisms (e.g., annual review of engagement practices and outcomes) help the </w:t>
      </w:r>
      <w:proofErr w:type="gramStart"/>
      <w:r w:rsidRPr="00B675D2">
        <w:t>City</w:t>
      </w:r>
      <w:proofErr w:type="gramEnd"/>
      <w:r w:rsidRPr="00B675D2">
        <w:t xml:space="preserve"> adapt strategies as needed, ensuring fairness and transparency.</w:t>
      </w:r>
    </w:p>
    <w:p w14:paraId="7B2176D1" w14:textId="77777777" w:rsidR="00B675D2" w:rsidRPr="00B675D2" w:rsidRDefault="00B675D2" w:rsidP="00B675D2">
      <w:r w:rsidRPr="00B675D2">
        <w:t>Importantly, community engagement is here understood as a continuous effort; Bloomington’s plan formalizes both the events and the systemic practices—such as web portal updates and ongoing survey analysis—that keep public planning a living process rather than a periodic exercise.</w:t>
      </w:r>
    </w:p>
    <w:p w14:paraId="4DD81C7F" w14:textId="77777777" w:rsidR="00B675D2" w:rsidRPr="00B675D2" w:rsidRDefault="00000000" w:rsidP="00B675D2">
      <w:r>
        <w:rPr>
          <w:noProof/>
        </w:rPr>
        <w:pict w14:anchorId="5C6E53A5">
          <v:rect id="_x0000_i1035" style="width:0;height:1.5pt" o:hralign="center" o:hrstd="t" o:hr="t" fillcolor="#a0a0a0" stroked="f"/>
        </w:pict>
      </w:r>
    </w:p>
    <w:p w14:paraId="76CA159E" w14:textId="77777777" w:rsidR="00B675D2" w:rsidRPr="00B675D2" w:rsidRDefault="00B675D2" w:rsidP="00B675D2">
      <w:pPr>
        <w:rPr>
          <w:b/>
          <w:bCs/>
        </w:rPr>
      </w:pPr>
      <w:r w:rsidRPr="00B675D2">
        <w:rPr>
          <w:b/>
          <w:bCs/>
        </w:rPr>
        <w:t>Implementation: Action Framework and Timelines</w:t>
      </w:r>
    </w:p>
    <w:p w14:paraId="41AC344D" w14:textId="77777777" w:rsidR="00B675D2" w:rsidRPr="00B675D2" w:rsidRDefault="00B675D2" w:rsidP="00B675D2">
      <w:pPr>
        <w:rPr>
          <w:b/>
          <w:bCs/>
        </w:rPr>
      </w:pPr>
      <w:r w:rsidRPr="00B675D2">
        <w:rPr>
          <w:b/>
          <w:bCs/>
        </w:rPr>
        <w:t>1. Implementation Framework</w:t>
      </w:r>
    </w:p>
    <w:p w14:paraId="065F4904" w14:textId="77777777" w:rsidR="00B675D2" w:rsidRPr="00B675D2" w:rsidRDefault="00B675D2" w:rsidP="00B675D2">
      <w:r w:rsidRPr="00B675D2">
        <w:t>Delivering on the Comprehensive Plan’s vision requires disciplined implementation mechanisms. This includes:</w:t>
      </w:r>
    </w:p>
    <w:p w14:paraId="1080C62B" w14:textId="77777777" w:rsidR="00B675D2" w:rsidRPr="00B675D2" w:rsidRDefault="00B675D2" w:rsidP="00B675D2">
      <w:pPr>
        <w:numPr>
          <w:ilvl w:val="0"/>
          <w:numId w:val="25"/>
        </w:numPr>
      </w:pPr>
      <w:r w:rsidRPr="00B675D2">
        <w:rPr>
          <w:b/>
          <w:bCs/>
        </w:rPr>
        <w:lastRenderedPageBreak/>
        <w:t>Assignment of responsibilities for each key action</w:t>
      </w:r>
      <w:r w:rsidRPr="00B675D2">
        <w:t xml:space="preserve"> (Council, staff, advisory boards, or regional partners)</w:t>
      </w:r>
    </w:p>
    <w:p w14:paraId="373F1D70" w14:textId="77777777" w:rsidR="00B675D2" w:rsidRPr="00B675D2" w:rsidRDefault="00B675D2" w:rsidP="00B675D2">
      <w:pPr>
        <w:numPr>
          <w:ilvl w:val="0"/>
          <w:numId w:val="25"/>
        </w:numPr>
      </w:pPr>
      <w:r w:rsidRPr="00B675D2">
        <w:rPr>
          <w:b/>
          <w:bCs/>
        </w:rPr>
        <w:t>Clear timelines and milestones</w:t>
      </w:r>
    </w:p>
    <w:p w14:paraId="0B5925E9" w14:textId="77777777" w:rsidR="00B675D2" w:rsidRPr="00B675D2" w:rsidRDefault="00B675D2" w:rsidP="00B675D2">
      <w:pPr>
        <w:numPr>
          <w:ilvl w:val="0"/>
          <w:numId w:val="25"/>
        </w:numPr>
      </w:pPr>
      <w:r w:rsidRPr="00B675D2">
        <w:rPr>
          <w:b/>
          <w:bCs/>
        </w:rPr>
        <w:t>Regular progress evaluations and adjustment as needed</w:t>
      </w:r>
    </w:p>
    <w:p w14:paraId="76101569" w14:textId="77777777" w:rsidR="00B675D2" w:rsidRPr="00B675D2" w:rsidRDefault="00B675D2" w:rsidP="00B675D2">
      <w:pPr>
        <w:numPr>
          <w:ilvl w:val="0"/>
          <w:numId w:val="25"/>
        </w:numPr>
      </w:pPr>
      <w:r w:rsidRPr="00B675D2">
        <w:rPr>
          <w:b/>
          <w:bCs/>
        </w:rPr>
        <w:t>Integration with annual budgeting and capital improvement planning</w:t>
      </w:r>
    </w:p>
    <w:p w14:paraId="62125F12" w14:textId="77777777" w:rsidR="00B675D2" w:rsidRPr="00B675D2" w:rsidRDefault="00B675D2" w:rsidP="00B675D2">
      <w:pPr>
        <w:numPr>
          <w:ilvl w:val="0"/>
          <w:numId w:val="25"/>
        </w:numPr>
      </w:pPr>
      <w:r w:rsidRPr="00B675D2">
        <w:rPr>
          <w:b/>
          <w:bCs/>
        </w:rPr>
        <w:t>Oversight through an implementation committee or designated staff lead</w:t>
      </w:r>
    </w:p>
    <w:p w14:paraId="75D60E2D" w14:textId="77777777" w:rsidR="00B675D2" w:rsidRPr="00B675D2" w:rsidRDefault="00B675D2" w:rsidP="00B675D2">
      <w:r w:rsidRPr="00B675D2">
        <w:t>These practices, recommended by national and Idaho-specific guides, prevent “plan shelf syndrome”—whereby plans languish without action.</w:t>
      </w:r>
    </w:p>
    <w:p w14:paraId="2FEACFFB" w14:textId="5805E31A" w:rsidR="00B675D2" w:rsidRPr="00B675D2" w:rsidRDefault="00B675D2" w:rsidP="00B675D2">
      <w:pPr>
        <w:rPr>
          <w:b/>
          <w:bCs/>
        </w:rPr>
      </w:pPr>
      <w:r w:rsidRPr="00B675D2">
        <w:rPr>
          <w:b/>
          <w:bCs/>
        </w:rPr>
        <w:t>2. Key Implementation Timeline: Years 202</w:t>
      </w:r>
      <w:r w:rsidR="00FE6D9A">
        <w:rPr>
          <w:b/>
          <w:bCs/>
        </w:rPr>
        <w:t>6</w:t>
      </w:r>
      <w:r w:rsidRPr="00B675D2">
        <w:rPr>
          <w:b/>
          <w:bCs/>
        </w:rPr>
        <w:t>–2030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3"/>
        <w:gridCol w:w="8097"/>
      </w:tblGrid>
      <w:tr w:rsidR="00B675D2" w:rsidRPr="00B675D2" w14:paraId="1B6641C5" w14:textId="77777777">
        <w:trPr>
          <w:tblHeader/>
          <w:tblCellSpacing w:w="15" w:type="dxa"/>
        </w:trPr>
        <w:tc>
          <w:tcPr>
            <w:tcW w:w="0" w:type="auto"/>
            <w:vAlign w:val="center"/>
            <w:hideMark/>
          </w:tcPr>
          <w:p w14:paraId="5E399EEF" w14:textId="77777777" w:rsidR="00B675D2" w:rsidRPr="00B675D2" w:rsidRDefault="00B675D2" w:rsidP="00B675D2">
            <w:pPr>
              <w:rPr>
                <w:b/>
                <w:bCs/>
              </w:rPr>
            </w:pPr>
            <w:r w:rsidRPr="00B675D2">
              <w:rPr>
                <w:b/>
                <w:bCs/>
              </w:rPr>
              <w:t>Year</w:t>
            </w:r>
          </w:p>
        </w:tc>
        <w:tc>
          <w:tcPr>
            <w:tcW w:w="0" w:type="auto"/>
            <w:vAlign w:val="center"/>
            <w:hideMark/>
          </w:tcPr>
          <w:p w14:paraId="63930CFD" w14:textId="77777777" w:rsidR="00B675D2" w:rsidRPr="00B675D2" w:rsidRDefault="00B675D2" w:rsidP="00B675D2">
            <w:pPr>
              <w:rPr>
                <w:b/>
                <w:bCs/>
              </w:rPr>
            </w:pPr>
            <w:r w:rsidRPr="00B675D2">
              <w:rPr>
                <w:b/>
                <w:bCs/>
              </w:rPr>
              <w:t>Major Actions</w:t>
            </w:r>
          </w:p>
        </w:tc>
      </w:tr>
      <w:tr w:rsidR="00B675D2" w:rsidRPr="00B675D2" w14:paraId="1824E81F" w14:textId="77777777">
        <w:trPr>
          <w:tblCellSpacing w:w="15" w:type="dxa"/>
        </w:trPr>
        <w:tc>
          <w:tcPr>
            <w:tcW w:w="0" w:type="auto"/>
            <w:vAlign w:val="center"/>
            <w:hideMark/>
          </w:tcPr>
          <w:p w14:paraId="2EB86BF9" w14:textId="77777777" w:rsidR="00B675D2" w:rsidRPr="00B675D2" w:rsidRDefault="00B675D2" w:rsidP="00B675D2">
            <w:r w:rsidRPr="00B675D2">
              <w:t>2026</w:t>
            </w:r>
          </w:p>
        </w:tc>
        <w:tc>
          <w:tcPr>
            <w:tcW w:w="0" w:type="auto"/>
            <w:vAlign w:val="center"/>
            <w:hideMark/>
          </w:tcPr>
          <w:p w14:paraId="448E1F94" w14:textId="77777777" w:rsidR="00F277F4" w:rsidRDefault="00F277F4" w:rsidP="003A731D">
            <w:pPr>
              <w:pStyle w:val="ListParagraph"/>
              <w:numPr>
                <w:ilvl w:val="0"/>
                <w:numId w:val="29"/>
              </w:numPr>
            </w:pPr>
            <w:r>
              <w:t>Develop and m</w:t>
            </w:r>
            <w:r w:rsidRPr="00B675D2">
              <w:t>aintain large-lot zoning</w:t>
            </w:r>
            <w:r>
              <w:t xml:space="preserve"> standards </w:t>
            </w:r>
          </w:p>
          <w:p w14:paraId="3FA6B13F" w14:textId="7C478922" w:rsidR="003A731D" w:rsidRDefault="00431E97" w:rsidP="003A731D">
            <w:pPr>
              <w:pStyle w:val="ListParagraph"/>
              <w:numPr>
                <w:ilvl w:val="0"/>
                <w:numId w:val="29"/>
              </w:numPr>
            </w:pPr>
            <w:r w:rsidRPr="00564F28">
              <w:t>Update Future Land Use Map; update site plan review process</w:t>
            </w:r>
            <w:r>
              <w:t xml:space="preserve"> </w:t>
            </w:r>
            <w:r w:rsidR="003A731D">
              <w:t>Research conservation easements</w:t>
            </w:r>
          </w:p>
          <w:p w14:paraId="78EA9B18" w14:textId="77777777" w:rsidR="003A731D" w:rsidRDefault="003A731D" w:rsidP="003A731D">
            <w:pPr>
              <w:pStyle w:val="ListParagraph"/>
              <w:numPr>
                <w:ilvl w:val="0"/>
                <w:numId w:val="29"/>
              </w:numPr>
            </w:pPr>
            <w:r>
              <w:t>Ensure city planning allows for residential, agricultural, commercial and industrial uses in planned deliberate areas</w:t>
            </w:r>
          </w:p>
          <w:p w14:paraId="5B4CE66C" w14:textId="77777777" w:rsidR="003A731D" w:rsidRDefault="003A731D" w:rsidP="003A731D">
            <w:pPr>
              <w:pStyle w:val="ListParagraph"/>
              <w:numPr>
                <w:ilvl w:val="0"/>
                <w:numId w:val="29"/>
              </w:numPr>
            </w:pPr>
            <w:r>
              <w:t>Develop methods to ensure tourism traffic does not interfere with safety or other city objectives</w:t>
            </w:r>
          </w:p>
          <w:p w14:paraId="30309D12" w14:textId="77777777" w:rsidR="003A731D" w:rsidRDefault="003A731D" w:rsidP="003A731D">
            <w:pPr>
              <w:pStyle w:val="ListParagraph"/>
              <w:numPr>
                <w:ilvl w:val="0"/>
                <w:numId w:val="29"/>
              </w:numPr>
            </w:pPr>
            <w:r>
              <w:t>Complete evaluation and apply for grants on paving roads accessing resident’s homes</w:t>
            </w:r>
          </w:p>
          <w:p w14:paraId="74130147" w14:textId="050BD6D8" w:rsidR="00564F28" w:rsidRPr="00B675D2" w:rsidRDefault="003A731D" w:rsidP="00431E97">
            <w:pPr>
              <w:pStyle w:val="ListParagraph"/>
              <w:numPr>
                <w:ilvl w:val="0"/>
                <w:numId w:val="29"/>
              </w:numPr>
            </w:pPr>
            <w:r>
              <w:t>Simplify and streamline city website</w:t>
            </w:r>
          </w:p>
        </w:tc>
      </w:tr>
      <w:tr w:rsidR="00B675D2" w:rsidRPr="00B675D2" w14:paraId="2528DF28" w14:textId="77777777">
        <w:trPr>
          <w:tblCellSpacing w:w="15" w:type="dxa"/>
        </w:trPr>
        <w:tc>
          <w:tcPr>
            <w:tcW w:w="0" w:type="auto"/>
            <w:vAlign w:val="center"/>
            <w:hideMark/>
          </w:tcPr>
          <w:p w14:paraId="5AE9B351" w14:textId="77777777" w:rsidR="00B675D2" w:rsidRPr="00B675D2" w:rsidRDefault="00B675D2" w:rsidP="00B675D2">
            <w:r w:rsidRPr="00B675D2">
              <w:t>2027</w:t>
            </w:r>
          </w:p>
        </w:tc>
        <w:tc>
          <w:tcPr>
            <w:tcW w:w="0" w:type="auto"/>
            <w:vAlign w:val="center"/>
            <w:hideMark/>
          </w:tcPr>
          <w:p w14:paraId="6BC9878C" w14:textId="77777777" w:rsidR="00D717EF" w:rsidRDefault="00D717EF" w:rsidP="00D717EF">
            <w:pPr>
              <w:pStyle w:val="ListParagraph"/>
              <w:numPr>
                <w:ilvl w:val="0"/>
                <w:numId w:val="30"/>
              </w:numPr>
            </w:pPr>
            <w:r>
              <w:t>Adopt overlay zones for creeks, ditches, and habitat</w:t>
            </w:r>
          </w:p>
          <w:p w14:paraId="2D61E4F2" w14:textId="26B46F16" w:rsidR="00D717EF" w:rsidRDefault="00D717EF" w:rsidP="00D717EF">
            <w:pPr>
              <w:pStyle w:val="ListParagraph"/>
              <w:numPr>
                <w:ilvl w:val="0"/>
                <w:numId w:val="30"/>
              </w:numPr>
            </w:pPr>
            <w:r>
              <w:t xml:space="preserve">Develop strategy to manage non-developed roadways in the city </w:t>
            </w:r>
          </w:p>
          <w:p w14:paraId="35322C50" w14:textId="77777777" w:rsidR="00B675D2" w:rsidRDefault="00D717EF" w:rsidP="00D717EF">
            <w:pPr>
              <w:pStyle w:val="ListParagraph"/>
              <w:numPr>
                <w:ilvl w:val="0"/>
                <w:numId w:val="30"/>
              </w:numPr>
            </w:pPr>
            <w:r>
              <w:t>Develop plan for low-impact, heritage-friendly tourism</w:t>
            </w:r>
          </w:p>
          <w:p w14:paraId="76455626" w14:textId="77777777" w:rsidR="00564F28" w:rsidRDefault="00564F28" w:rsidP="00D717EF">
            <w:pPr>
              <w:pStyle w:val="ListParagraph"/>
              <w:numPr>
                <w:ilvl w:val="0"/>
                <w:numId w:val="30"/>
              </w:numPr>
            </w:pPr>
            <w:r w:rsidRPr="00564F28">
              <w:t>Complete annual road safety audit; address key crossings</w:t>
            </w:r>
          </w:p>
          <w:p w14:paraId="251417EC" w14:textId="77777777" w:rsidR="00564F28" w:rsidRDefault="00564F28" w:rsidP="00D717EF">
            <w:pPr>
              <w:pStyle w:val="ListParagraph"/>
              <w:numPr>
                <w:ilvl w:val="0"/>
                <w:numId w:val="30"/>
              </w:numPr>
            </w:pPr>
            <w:r w:rsidRPr="00564F28">
              <w:t>Complete asset inventory; Develop phased improvement plan</w:t>
            </w:r>
          </w:p>
          <w:p w14:paraId="52912442" w14:textId="00F7756D" w:rsidR="00D76903" w:rsidRPr="00B675D2" w:rsidRDefault="00D76903" w:rsidP="00D717EF">
            <w:pPr>
              <w:pStyle w:val="ListParagraph"/>
              <w:numPr>
                <w:ilvl w:val="0"/>
                <w:numId w:val="30"/>
              </w:numPr>
            </w:pPr>
            <w:r w:rsidRPr="00D76903">
              <w:t>Survey city owned roadways, easements, etc. for accuracy</w:t>
            </w:r>
          </w:p>
        </w:tc>
      </w:tr>
      <w:tr w:rsidR="00B675D2" w:rsidRPr="00B675D2" w14:paraId="7A3760C5" w14:textId="77777777">
        <w:trPr>
          <w:tblCellSpacing w:w="15" w:type="dxa"/>
        </w:trPr>
        <w:tc>
          <w:tcPr>
            <w:tcW w:w="0" w:type="auto"/>
            <w:vAlign w:val="center"/>
            <w:hideMark/>
          </w:tcPr>
          <w:p w14:paraId="2C05B994" w14:textId="77777777" w:rsidR="00B675D2" w:rsidRPr="00B675D2" w:rsidRDefault="00B675D2" w:rsidP="00B675D2">
            <w:r w:rsidRPr="00B675D2">
              <w:t>2028</w:t>
            </w:r>
          </w:p>
        </w:tc>
        <w:tc>
          <w:tcPr>
            <w:tcW w:w="0" w:type="auto"/>
            <w:vAlign w:val="center"/>
            <w:hideMark/>
          </w:tcPr>
          <w:p w14:paraId="2725C7CD" w14:textId="77777777" w:rsidR="00B675D2" w:rsidRDefault="00D717EF" w:rsidP="00D717EF">
            <w:pPr>
              <w:pStyle w:val="ListParagraph"/>
              <w:numPr>
                <w:ilvl w:val="0"/>
                <w:numId w:val="31"/>
              </w:numPr>
            </w:pPr>
            <w:r w:rsidRPr="00D717EF">
              <w:t>Build pedestrian/bike path on priority corridors</w:t>
            </w:r>
          </w:p>
          <w:p w14:paraId="2BC2BD9A" w14:textId="77777777" w:rsidR="00053E9E" w:rsidRDefault="00053E9E" w:rsidP="00053E9E">
            <w:pPr>
              <w:pStyle w:val="ListParagraph"/>
              <w:numPr>
                <w:ilvl w:val="0"/>
                <w:numId w:val="31"/>
              </w:numPr>
            </w:pPr>
            <w:r>
              <w:t>Complete mapping of underground city utilities</w:t>
            </w:r>
          </w:p>
          <w:p w14:paraId="72AD3782" w14:textId="68F0743D" w:rsidR="00053E9E" w:rsidRPr="00B675D2" w:rsidRDefault="00053E9E" w:rsidP="00053E9E">
            <w:pPr>
              <w:pStyle w:val="ListParagraph"/>
              <w:numPr>
                <w:ilvl w:val="0"/>
                <w:numId w:val="31"/>
              </w:numPr>
            </w:pPr>
            <w:r>
              <w:t>Update wastewater/stormwater codes; educational outreach</w:t>
            </w:r>
          </w:p>
        </w:tc>
      </w:tr>
      <w:tr w:rsidR="00D717EF" w:rsidRPr="00B675D2" w14:paraId="0D25C92C" w14:textId="77777777">
        <w:trPr>
          <w:tblCellSpacing w:w="15" w:type="dxa"/>
        </w:trPr>
        <w:tc>
          <w:tcPr>
            <w:tcW w:w="0" w:type="auto"/>
            <w:vAlign w:val="center"/>
          </w:tcPr>
          <w:p w14:paraId="3C33BFD3" w14:textId="44999E5A" w:rsidR="00D717EF" w:rsidRPr="00B675D2" w:rsidRDefault="00D717EF" w:rsidP="00B675D2">
            <w:r>
              <w:t>Annual Actions</w:t>
            </w:r>
          </w:p>
        </w:tc>
        <w:tc>
          <w:tcPr>
            <w:tcW w:w="0" w:type="auto"/>
            <w:vAlign w:val="center"/>
          </w:tcPr>
          <w:p w14:paraId="7D379828" w14:textId="77777777" w:rsidR="00A00F20" w:rsidRDefault="00A00F20" w:rsidP="00A00F20">
            <w:pPr>
              <w:pStyle w:val="ListParagraph"/>
              <w:numPr>
                <w:ilvl w:val="0"/>
                <w:numId w:val="31"/>
              </w:numPr>
            </w:pPr>
            <w:r>
              <w:t>Annual review using regional housing market data</w:t>
            </w:r>
          </w:p>
          <w:p w14:paraId="58D53B4E" w14:textId="77777777" w:rsidR="00A00F20" w:rsidRDefault="00A00F20" w:rsidP="00A00F20">
            <w:pPr>
              <w:pStyle w:val="ListParagraph"/>
              <w:numPr>
                <w:ilvl w:val="0"/>
                <w:numId w:val="31"/>
              </w:numPr>
            </w:pPr>
            <w:r>
              <w:t>Prioritize preventative road/bridge maintenance</w:t>
            </w:r>
          </w:p>
          <w:p w14:paraId="53737C15" w14:textId="77777777" w:rsidR="00D717EF" w:rsidRDefault="00A00F20" w:rsidP="00A00F20">
            <w:pPr>
              <w:pStyle w:val="ListParagraph"/>
              <w:numPr>
                <w:ilvl w:val="0"/>
                <w:numId w:val="31"/>
              </w:numPr>
            </w:pPr>
            <w:r>
              <w:t>Annual assessment of engagement effectiveness</w:t>
            </w:r>
          </w:p>
          <w:p w14:paraId="4BA00DF8" w14:textId="77777777" w:rsidR="00A00F20" w:rsidRDefault="00A00F20" w:rsidP="00A00F20">
            <w:pPr>
              <w:pStyle w:val="ListParagraph"/>
              <w:numPr>
                <w:ilvl w:val="0"/>
                <w:numId w:val="31"/>
              </w:numPr>
            </w:pPr>
            <w:r>
              <w:lastRenderedPageBreak/>
              <w:t>Pursue state/federal grants for all major capital projects</w:t>
            </w:r>
          </w:p>
          <w:p w14:paraId="2852D799" w14:textId="5644B13E" w:rsidR="00A00F20" w:rsidRPr="00B675D2" w:rsidRDefault="00A00F20" w:rsidP="00A00F20">
            <w:pPr>
              <w:pStyle w:val="ListParagraph"/>
              <w:numPr>
                <w:ilvl w:val="0"/>
                <w:numId w:val="31"/>
              </w:numPr>
            </w:pPr>
            <w:r>
              <w:t>Hold at least 2 town halls for major initiatives</w:t>
            </w:r>
          </w:p>
        </w:tc>
      </w:tr>
    </w:tbl>
    <w:p w14:paraId="1D61EDD4" w14:textId="26041220" w:rsidR="00552AD1" w:rsidRDefault="00552AD1" w:rsidP="00B675D2"/>
    <w:p w14:paraId="432CCCC2" w14:textId="436BE5F6" w:rsidR="00B675D2" w:rsidRDefault="00B675D2" w:rsidP="00B675D2">
      <w:r w:rsidRPr="00B675D2">
        <w:t>This sequenced timeline translates plan objectives into actionable steps, with accountability distributed among departments and concrete annual benchmarks. Regular progress reporting—both to elected officials and the public—ensures transparency, with data-driven evaluation informing any mid-course adjustments.</w:t>
      </w:r>
    </w:p>
    <w:p w14:paraId="28B80E50" w14:textId="44C006EE" w:rsidR="00B675D2" w:rsidRPr="00B675D2" w:rsidRDefault="00B675D2" w:rsidP="00B675D2">
      <w:pPr>
        <w:rPr>
          <w:b/>
          <w:bCs/>
        </w:rPr>
      </w:pPr>
      <w:r w:rsidRPr="00B675D2">
        <w:rPr>
          <w:b/>
          <w:bCs/>
        </w:rPr>
        <w:t>3. Monitoring and Evaluation</w:t>
      </w:r>
    </w:p>
    <w:p w14:paraId="3809D2C1" w14:textId="0B5039CF" w:rsidR="00B675D2" w:rsidRPr="00B675D2" w:rsidRDefault="00B675D2" w:rsidP="00B675D2">
      <w:r w:rsidRPr="00B675D2">
        <w:t>Routine monitoring mechanisms (e.</w:t>
      </w:r>
      <w:r w:rsidR="002F39E0" w:rsidRPr="00B675D2">
        <w:t>g.</w:t>
      </w:r>
      <w:r w:rsidRPr="00B675D2">
        <w:t xml:space="preserve"> annual progress reports, periodic community surveys, feedback cycles with local boards) are embedded in the plan’s policy structure, in line with best practice recommendations. These processes:</w:t>
      </w:r>
    </w:p>
    <w:p w14:paraId="6BE6F8B9" w14:textId="77777777" w:rsidR="00B675D2" w:rsidRPr="00B675D2" w:rsidRDefault="00B675D2" w:rsidP="00B675D2">
      <w:pPr>
        <w:numPr>
          <w:ilvl w:val="0"/>
          <w:numId w:val="26"/>
        </w:numPr>
      </w:pPr>
      <w:r w:rsidRPr="00B675D2">
        <w:t>Provide an ongoing basis for “course correction” as new challenges or opportunities arise</w:t>
      </w:r>
    </w:p>
    <w:p w14:paraId="16E0BD68" w14:textId="77777777" w:rsidR="00B675D2" w:rsidRPr="00B675D2" w:rsidRDefault="00B675D2" w:rsidP="00B675D2">
      <w:pPr>
        <w:numPr>
          <w:ilvl w:val="0"/>
          <w:numId w:val="26"/>
        </w:numPr>
      </w:pPr>
      <w:r w:rsidRPr="00B675D2">
        <w:t>Anchor comprehensive plan implementation within the City’s annual governance cycle</w:t>
      </w:r>
    </w:p>
    <w:p w14:paraId="46CEFD59" w14:textId="77777777" w:rsidR="00B675D2" w:rsidRPr="00B675D2" w:rsidRDefault="00B675D2" w:rsidP="00B675D2">
      <w:pPr>
        <w:numPr>
          <w:ilvl w:val="0"/>
          <w:numId w:val="26"/>
        </w:numPr>
      </w:pPr>
      <w:r w:rsidRPr="00B675D2">
        <w:t>Foster a culture of evidence-based policymaking</w:t>
      </w:r>
    </w:p>
    <w:p w14:paraId="0DDA0C83" w14:textId="77777777" w:rsidR="00B675D2" w:rsidRPr="00B675D2" w:rsidRDefault="00B675D2" w:rsidP="00B675D2">
      <w:r w:rsidRPr="00B675D2">
        <w:t>Progress metrics will be reported via annual updates, community meetings, and digital dashboards—maximizing both transparency and accountability.</w:t>
      </w:r>
    </w:p>
    <w:p w14:paraId="011EB484" w14:textId="77777777" w:rsidR="00B675D2" w:rsidRPr="00B675D2" w:rsidRDefault="00000000" w:rsidP="00B675D2">
      <w:r>
        <w:rPr>
          <w:noProof/>
        </w:rPr>
        <w:pict w14:anchorId="0F8BBA42">
          <v:rect id="_x0000_i1036" style="width:0;height:1.5pt" o:hralign="center" o:hrstd="t" o:hr="t" fillcolor="#a0a0a0" stroked="f"/>
        </w:pict>
      </w:r>
    </w:p>
    <w:p w14:paraId="11FFE4E7" w14:textId="77777777" w:rsidR="00B675D2" w:rsidRPr="00B675D2" w:rsidRDefault="00B675D2" w:rsidP="00B675D2">
      <w:pPr>
        <w:rPr>
          <w:b/>
          <w:bCs/>
        </w:rPr>
      </w:pPr>
      <w:r w:rsidRPr="00B675D2">
        <w:rPr>
          <w:b/>
          <w:bCs/>
        </w:rPr>
        <w:t>Conclusion</w:t>
      </w:r>
    </w:p>
    <w:p w14:paraId="20FD2732" w14:textId="5E51D227" w:rsidR="00B675D2" w:rsidRPr="00B675D2" w:rsidRDefault="00B675D2" w:rsidP="00B675D2">
      <w:r w:rsidRPr="00B675D2">
        <w:t>Bloomington’s 202</w:t>
      </w:r>
      <w:r w:rsidR="00501603">
        <w:t>6</w:t>
      </w:r>
      <w:r w:rsidRPr="00B675D2">
        <w:t xml:space="preserve"> Comprehensive Plan is designed as a durable, actionable policy framework that balances heritage preservation with the demand for adaptation and renewal. Leveraging the successes and lessons of the 2014 plan, and informed by authoritative sources and cutting-edge rural planning practice, this document:</w:t>
      </w:r>
    </w:p>
    <w:p w14:paraId="2AD56DC3" w14:textId="77777777" w:rsidR="00B675D2" w:rsidRPr="00B675D2" w:rsidRDefault="00B675D2" w:rsidP="00B675D2">
      <w:pPr>
        <w:numPr>
          <w:ilvl w:val="0"/>
          <w:numId w:val="27"/>
        </w:numPr>
      </w:pPr>
      <w:r w:rsidRPr="00B675D2">
        <w:t>Anchors long-term land use in preservation with capacity for compatible growth</w:t>
      </w:r>
    </w:p>
    <w:p w14:paraId="58E0A3B3" w14:textId="77777777" w:rsidR="00B675D2" w:rsidRPr="00B675D2" w:rsidRDefault="00B675D2" w:rsidP="00B675D2">
      <w:pPr>
        <w:numPr>
          <w:ilvl w:val="0"/>
          <w:numId w:val="27"/>
        </w:numPr>
      </w:pPr>
      <w:r w:rsidRPr="00B675D2">
        <w:t>Tackles rural housing challenges with flexible, partnership-oriented policies</w:t>
      </w:r>
    </w:p>
    <w:p w14:paraId="3CF4E1A8" w14:textId="06693C47" w:rsidR="00B675D2" w:rsidRPr="00B675D2" w:rsidRDefault="00D36DEA" w:rsidP="00B675D2">
      <w:pPr>
        <w:numPr>
          <w:ilvl w:val="0"/>
          <w:numId w:val="27"/>
        </w:numPr>
      </w:pPr>
      <w:r>
        <w:t xml:space="preserve">Upgrades </w:t>
      </w:r>
      <w:r w:rsidR="009F6301">
        <w:t>roads and</w:t>
      </w:r>
      <w:r w:rsidR="00B675D2" w:rsidRPr="00B675D2">
        <w:t xml:space="preserve"> infrastructure in a cost-effective manner</w:t>
      </w:r>
    </w:p>
    <w:p w14:paraId="1981C11A" w14:textId="0E3A2B84" w:rsidR="00B675D2" w:rsidRPr="00B675D2" w:rsidRDefault="00B675D2" w:rsidP="00B675D2">
      <w:pPr>
        <w:numPr>
          <w:ilvl w:val="0"/>
          <w:numId w:val="27"/>
        </w:numPr>
      </w:pPr>
      <w:r w:rsidRPr="00B675D2">
        <w:t>Prioritizes environmental stewardship as fundamental cross-cutting themes</w:t>
      </w:r>
    </w:p>
    <w:p w14:paraId="21D9B879" w14:textId="77777777" w:rsidR="00B675D2" w:rsidRPr="00B675D2" w:rsidRDefault="00B675D2" w:rsidP="00B675D2">
      <w:pPr>
        <w:numPr>
          <w:ilvl w:val="0"/>
          <w:numId w:val="27"/>
        </w:numPr>
      </w:pPr>
      <w:r w:rsidRPr="00B675D2">
        <w:lastRenderedPageBreak/>
        <w:t>Fosters a vibrant, future-ready rural economy through innovation, collaboration, and strategic positioning</w:t>
      </w:r>
    </w:p>
    <w:p w14:paraId="3886AC03" w14:textId="77777777" w:rsidR="00B675D2" w:rsidRPr="00B675D2" w:rsidRDefault="00B675D2" w:rsidP="00B675D2">
      <w:pPr>
        <w:numPr>
          <w:ilvl w:val="0"/>
          <w:numId w:val="27"/>
        </w:numPr>
      </w:pPr>
      <w:r w:rsidRPr="00B675D2">
        <w:t>Elevates community engagement to a continuous, inclusive, and evolving practice</w:t>
      </w:r>
    </w:p>
    <w:p w14:paraId="2181AF75" w14:textId="77777777" w:rsidR="00B675D2" w:rsidRPr="00B675D2" w:rsidRDefault="00B675D2" w:rsidP="00B675D2">
      <w:pPr>
        <w:numPr>
          <w:ilvl w:val="0"/>
          <w:numId w:val="27"/>
        </w:numPr>
      </w:pPr>
      <w:r w:rsidRPr="00B675D2">
        <w:t>Commits to robust, transparent, and flexible implementation mechanisms</w:t>
      </w:r>
    </w:p>
    <w:p w14:paraId="0734D01B" w14:textId="77777777" w:rsidR="00B675D2" w:rsidRPr="00B675D2" w:rsidRDefault="00B675D2" w:rsidP="00B675D2">
      <w:r w:rsidRPr="00B675D2">
        <w:t>Together, these foundations ensure that Bloomington not only preserves its special character but thrives amidst twenty-first-century change. The plan serves as a living document—subject to review, evaluation, and adaptation as future needs invariably emerge.</w:t>
      </w:r>
    </w:p>
    <w:p w14:paraId="102062EB" w14:textId="77777777" w:rsidR="00B675D2" w:rsidRPr="00B675D2" w:rsidRDefault="00000000" w:rsidP="00B675D2">
      <w:r>
        <w:rPr>
          <w:noProof/>
        </w:rPr>
        <w:pict w14:anchorId="7E753D3B">
          <v:rect id="_x0000_i1037" style="width:0;height:1.5pt" o:hralign="center" o:hrstd="t" o:hr="t" fillcolor="#a0a0a0" stroked="f"/>
        </w:pict>
      </w:r>
    </w:p>
    <w:sectPr w:rsidR="00B675D2" w:rsidRPr="00B675D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2D140" w14:textId="77777777" w:rsidR="00F958E1" w:rsidRDefault="00F958E1" w:rsidP="00CC72C2">
      <w:pPr>
        <w:spacing w:after="0" w:line="240" w:lineRule="auto"/>
      </w:pPr>
      <w:r>
        <w:separator/>
      </w:r>
    </w:p>
  </w:endnote>
  <w:endnote w:type="continuationSeparator" w:id="0">
    <w:p w14:paraId="58021B3A" w14:textId="77777777" w:rsidR="00F958E1" w:rsidRDefault="00F958E1" w:rsidP="00CC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5931" w14:textId="77777777" w:rsidR="00CC72C2" w:rsidRDefault="00CC7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3547D" w14:textId="77777777" w:rsidR="00CC72C2" w:rsidRDefault="00CC72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3015" w14:textId="77777777" w:rsidR="00CC72C2" w:rsidRDefault="00CC7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6CC98" w14:textId="77777777" w:rsidR="00F958E1" w:rsidRDefault="00F958E1" w:rsidP="00CC72C2">
      <w:pPr>
        <w:spacing w:after="0" w:line="240" w:lineRule="auto"/>
      </w:pPr>
      <w:r>
        <w:separator/>
      </w:r>
    </w:p>
  </w:footnote>
  <w:footnote w:type="continuationSeparator" w:id="0">
    <w:p w14:paraId="77E117AA" w14:textId="77777777" w:rsidR="00F958E1" w:rsidRDefault="00F958E1" w:rsidP="00CC7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F68B4" w14:textId="77777777" w:rsidR="00CC72C2" w:rsidRDefault="00CC72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755750"/>
      <w:docPartObj>
        <w:docPartGallery w:val="Watermarks"/>
        <w:docPartUnique/>
      </w:docPartObj>
    </w:sdtPr>
    <w:sdtContent>
      <w:p w14:paraId="35B7E12D" w14:textId="3400D97F" w:rsidR="00CC72C2" w:rsidRDefault="00CC72C2">
        <w:pPr>
          <w:pStyle w:val="Header"/>
        </w:pPr>
        <w:r>
          <w:rPr>
            <w:noProof/>
          </w:rPr>
          <w:pict w14:anchorId="0D515D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5890" w14:textId="77777777" w:rsidR="00CC72C2" w:rsidRDefault="00CC7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34A4"/>
    <w:multiLevelType w:val="multilevel"/>
    <w:tmpl w:val="52E0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75712"/>
    <w:multiLevelType w:val="multilevel"/>
    <w:tmpl w:val="0E56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B2DCC"/>
    <w:multiLevelType w:val="multilevel"/>
    <w:tmpl w:val="3030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049B4"/>
    <w:multiLevelType w:val="multilevel"/>
    <w:tmpl w:val="8A2A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02180"/>
    <w:multiLevelType w:val="multilevel"/>
    <w:tmpl w:val="A140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35779"/>
    <w:multiLevelType w:val="multilevel"/>
    <w:tmpl w:val="1118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72A55"/>
    <w:multiLevelType w:val="hybridMultilevel"/>
    <w:tmpl w:val="BC56D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9E3FCD"/>
    <w:multiLevelType w:val="multilevel"/>
    <w:tmpl w:val="DCB2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5E7C78"/>
    <w:multiLevelType w:val="multilevel"/>
    <w:tmpl w:val="AAA6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381F99"/>
    <w:multiLevelType w:val="hybridMultilevel"/>
    <w:tmpl w:val="C32AD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5F1FC6"/>
    <w:multiLevelType w:val="multilevel"/>
    <w:tmpl w:val="6F3A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07575"/>
    <w:multiLevelType w:val="multilevel"/>
    <w:tmpl w:val="A17C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7C0303"/>
    <w:multiLevelType w:val="multilevel"/>
    <w:tmpl w:val="7294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175DDA"/>
    <w:multiLevelType w:val="multilevel"/>
    <w:tmpl w:val="6B32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E20311"/>
    <w:multiLevelType w:val="multilevel"/>
    <w:tmpl w:val="A0CA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6B6554"/>
    <w:multiLevelType w:val="multilevel"/>
    <w:tmpl w:val="1B22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B74932"/>
    <w:multiLevelType w:val="multilevel"/>
    <w:tmpl w:val="B184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82135F"/>
    <w:multiLevelType w:val="multilevel"/>
    <w:tmpl w:val="C65C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884528"/>
    <w:multiLevelType w:val="multilevel"/>
    <w:tmpl w:val="C302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5D29D1"/>
    <w:multiLevelType w:val="hybridMultilevel"/>
    <w:tmpl w:val="FB408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24452"/>
    <w:multiLevelType w:val="hybridMultilevel"/>
    <w:tmpl w:val="7A4A0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377C7C"/>
    <w:multiLevelType w:val="multilevel"/>
    <w:tmpl w:val="CBF0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D64EB8"/>
    <w:multiLevelType w:val="multilevel"/>
    <w:tmpl w:val="3D52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EB7B2D"/>
    <w:multiLevelType w:val="multilevel"/>
    <w:tmpl w:val="9190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0B1B76"/>
    <w:multiLevelType w:val="multilevel"/>
    <w:tmpl w:val="8A44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11266C"/>
    <w:multiLevelType w:val="multilevel"/>
    <w:tmpl w:val="72A2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5B7C84"/>
    <w:multiLevelType w:val="multilevel"/>
    <w:tmpl w:val="381A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E921BF"/>
    <w:multiLevelType w:val="multilevel"/>
    <w:tmpl w:val="B88C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5330E0"/>
    <w:multiLevelType w:val="multilevel"/>
    <w:tmpl w:val="6FD4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4C6CBB"/>
    <w:multiLevelType w:val="multilevel"/>
    <w:tmpl w:val="12D02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D959C9"/>
    <w:multiLevelType w:val="multilevel"/>
    <w:tmpl w:val="8610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826734">
    <w:abstractNumId w:val="21"/>
  </w:num>
  <w:num w:numId="2" w16cid:durableId="1976058450">
    <w:abstractNumId w:val="10"/>
  </w:num>
  <w:num w:numId="3" w16cid:durableId="2029718910">
    <w:abstractNumId w:val="0"/>
  </w:num>
  <w:num w:numId="4" w16cid:durableId="263657709">
    <w:abstractNumId w:val="18"/>
  </w:num>
  <w:num w:numId="5" w16cid:durableId="182673754">
    <w:abstractNumId w:val="2"/>
  </w:num>
  <w:num w:numId="6" w16cid:durableId="411045026">
    <w:abstractNumId w:val="30"/>
  </w:num>
  <w:num w:numId="7" w16cid:durableId="779376949">
    <w:abstractNumId w:val="4"/>
  </w:num>
  <w:num w:numId="8" w16cid:durableId="1265958964">
    <w:abstractNumId w:val="1"/>
  </w:num>
  <w:num w:numId="9" w16cid:durableId="614601977">
    <w:abstractNumId w:val="25"/>
  </w:num>
  <w:num w:numId="10" w16cid:durableId="1870290995">
    <w:abstractNumId w:val="16"/>
  </w:num>
  <w:num w:numId="11" w16cid:durableId="191499519">
    <w:abstractNumId w:val="17"/>
  </w:num>
  <w:num w:numId="12" w16cid:durableId="1484857604">
    <w:abstractNumId w:val="13"/>
  </w:num>
  <w:num w:numId="13" w16cid:durableId="1940485973">
    <w:abstractNumId w:val="29"/>
  </w:num>
  <w:num w:numId="14" w16cid:durableId="491681404">
    <w:abstractNumId w:val="12"/>
  </w:num>
  <w:num w:numId="15" w16cid:durableId="298924846">
    <w:abstractNumId w:val="8"/>
  </w:num>
  <w:num w:numId="16" w16cid:durableId="1272906075">
    <w:abstractNumId w:val="22"/>
  </w:num>
  <w:num w:numId="17" w16cid:durableId="42103527">
    <w:abstractNumId w:val="11"/>
  </w:num>
  <w:num w:numId="18" w16cid:durableId="877084754">
    <w:abstractNumId w:val="28"/>
  </w:num>
  <w:num w:numId="19" w16cid:durableId="247079333">
    <w:abstractNumId w:val="14"/>
  </w:num>
  <w:num w:numId="20" w16cid:durableId="751269953">
    <w:abstractNumId w:val="15"/>
  </w:num>
  <w:num w:numId="21" w16cid:durableId="522481163">
    <w:abstractNumId w:val="23"/>
  </w:num>
  <w:num w:numId="22" w16cid:durableId="134026483">
    <w:abstractNumId w:val="7"/>
  </w:num>
  <w:num w:numId="23" w16cid:durableId="1462386973">
    <w:abstractNumId w:val="24"/>
  </w:num>
  <w:num w:numId="24" w16cid:durableId="599262950">
    <w:abstractNumId w:val="3"/>
  </w:num>
  <w:num w:numId="25" w16cid:durableId="1733502113">
    <w:abstractNumId w:val="26"/>
  </w:num>
  <w:num w:numId="26" w16cid:durableId="337663214">
    <w:abstractNumId w:val="5"/>
  </w:num>
  <w:num w:numId="27" w16cid:durableId="641741058">
    <w:abstractNumId w:val="27"/>
  </w:num>
  <w:num w:numId="28" w16cid:durableId="1009481331">
    <w:abstractNumId w:val="6"/>
  </w:num>
  <w:num w:numId="29" w16cid:durableId="392892537">
    <w:abstractNumId w:val="9"/>
  </w:num>
  <w:num w:numId="30" w16cid:durableId="1017125024">
    <w:abstractNumId w:val="19"/>
  </w:num>
  <w:num w:numId="31" w16cid:durableId="10296423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141"/>
    <w:rsid w:val="00021CE1"/>
    <w:rsid w:val="00036AE2"/>
    <w:rsid w:val="00053E9E"/>
    <w:rsid w:val="000637E9"/>
    <w:rsid w:val="000A3612"/>
    <w:rsid w:val="000A78CE"/>
    <w:rsid w:val="000C287A"/>
    <w:rsid w:val="000E1FBC"/>
    <w:rsid w:val="001157E0"/>
    <w:rsid w:val="00134C14"/>
    <w:rsid w:val="001A68C4"/>
    <w:rsid w:val="001A7385"/>
    <w:rsid w:val="001C2FDB"/>
    <w:rsid w:val="001F6B32"/>
    <w:rsid w:val="00224CC8"/>
    <w:rsid w:val="00225E15"/>
    <w:rsid w:val="00233FE9"/>
    <w:rsid w:val="0028454C"/>
    <w:rsid w:val="00292F14"/>
    <w:rsid w:val="002D2782"/>
    <w:rsid w:val="002F39E0"/>
    <w:rsid w:val="00321020"/>
    <w:rsid w:val="00340FE7"/>
    <w:rsid w:val="00347FFE"/>
    <w:rsid w:val="003A130A"/>
    <w:rsid w:val="003A1494"/>
    <w:rsid w:val="003A2483"/>
    <w:rsid w:val="003A731D"/>
    <w:rsid w:val="003A7450"/>
    <w:rsid w:val="003B2D17"/>
    <w:rsid w:val="003B35CE"/>
    <w:rsid w:val="003D6727"/>
    <w:rsid w:val="003E1302"/>
    <w:rsid w:val="00405FFF"/>
    <w:rsid w:val="00415C12"/>
    <w:rsid w:val="00431E97"/>
    <w:rsid w:val="0044075C"/>
    <w:rsid w:val="00454EC4"/>
    <w:rsid w:val="004A54D1"/>
    <w:rsid w:val="004E23A8"/>
    <w:rsid w:val="004F4BA2"/>
    <w:rsid w:val="004F7718"/>
    <w:rsid w:val="005006F6"/>
    <w:rsid w:val="00501603"/>
    <w:rsid w:val="00540448"/>
    <w:rsid w:val="00552AD1"/>
    <w:rsid w:val="00564202"/>
    <w:rsid w:val="00564F28"/>
    <w:rsid w:val="00576EA0"/>
    <w:rsid w:val="00593B57"/>
    <w:rsid w:val="00597EEC"/>
    <w:rsid w:val="005C4276"/>
    <w:rsid w:val="005C5B84"/>
    <w:rsid w:val="0060758B"/>
    <w:rsid w:val="0068373F"/>
    <w:rsid w:val="00685F9B"/>
    <w:rsid w:val="00690780"/>
    <w:rsid w:val="006A600A"/>
    <w:rsid w:val="006D194D"/>
    <w:rsid w:val="006D6AE7"/>
    <w:rsid w:val="006D6D11"/>
    <w:rsid w:val="006E3C0B"/>
    <w:rsid w:val="007373CA"/>
    <w:rsid w:val="00757E4E"/>
    <w:rsid w:val="00777CAE"/>
    <w:rsid w:val="007A23EA"/>
    <w:rsid w:val="007B4726"/>
    <w:rsid w:val="007D0FC9"/>
    <w:rsid w:val="007D6C5A"/>
    <w:rsid w:val="00811FBF"/>
    <w:rsid w:val="008162C5"/>
    <w:rsid w:val="00820FDE"/>
    <w:rsid w:val="00825C41"/>
    <w:rsid w:val="00861501"/>
    <w:rsid w:val="0088358F"/>
    <w:rsid w:val="008A0CED"/>
    <w:rsid w:val="008A2113"/>
    <w:rsid w:val="008B1815"/>
    <w:rsid w:val="008D5703"/>
    <w:rsid w:val="008F01C8"/>
    <w:rsid w:val="008F038E"/>
    <w:rsid w:val="008F147C"/>
    <w:rsid w:val="009011AF"/>
    <w:rsid w:val="00912B9E"/>
    <w:rsid w:val="009407D6"/>
    <w:rsid w:val="0094366A"/>
    <w:rsid w:val="00961104"/>
    <w:rsid w:val="00972984"/>
    <w:rsid w:val="009D7D9C"/>
    <w:rsid w:val="009E4CA6"/>
    <w:rsid w:val="009E7972"/>
    <w:rsid w:val="009F6301"/>
    <w:rsid w:val="00A00F20"/>
    <w:rsid w:val="00A479BF"/>
    <w:rsid w:val="00A52600"/>
    <w:rsid w:val="00A642E2"/>
    <w:rsid w:val="00A76ACA"/>
    <w:rsid w:val="00A91466"/>
    <w:rsid w:val="00A930EA"/>
    <w:rsid w:val="00A9616F"/>
    <w:rsid w:val="00AD21CC"/>
    <w:rsid w:val="00AF366C"/>
    <w:rsid w:val="00B014C2"/>
    <w:rsid w:val="00B0514B"/>
    <w:rsid w:val="00B06E95"/>
    <w:rsid w:val="00B10C40"/>
    <w:rsid w:val="00B35A41"/>
    <w:rsid w:val="00B527C1"/>
    <w:rsid w:val="00B5737B"/>
    <w:rsid w:val="00B675D2"/>
    <w:rsid w:val="00B91513"/>
    <w:rsid w:val="00B97680"/>
    <w:rsid w:val="00BA38BC"/>
    <w:rsid w:val="00BA3AB6"/>
    <w:rsid w:val="00BB61A7"/>
    <w:rsid w:val="00BC640C"/>
    <w:rsid w:val="00C00384"/>
    <w:rsid w:val="00C768A2"/>
    <w:rsid w:val="00CA1E22"/>
    <w:rsid w:val="00CC72C2"/>
    <w:rsid w:val="00CF38AF"/>
    <w:rsid w:val="00D03B2F"/>
    <w:rsid w:val="00D06EAF"/>
    <w:rsid w:val="00D30712"/>
    <w:rsid w:val="00D36DEA"/>
    <w:rsid w:val="00D64036"/>
    <w:rsid w:val="00D717EF"/>
    <w:rsid w:val="00D76903"/>
    <w:rsid w:val="00D84A08"/>
    <w:rsid w:val="00D87D45"/>
    <w:rsid w:val="00D90490"/>
    <w:rsid w:val="00DB29C3"/>
    <w:rsid w:val="00DF602D"/>
    <w:rsid w:val="00E1518D"/>
    <w:rsid w:val="00E36141"/>
    <w:rsid w:val="00E36378"/>
    <w:rsid w:val="00E7184C"/>
    <w:rsid w:val="00EC09CC"/>
    <w:rsid w:val="00EC13D0"/>
    <w:rsid w:val="00ED0354"/>
    <w:rsid w:val="00ED53D5"/>
    <w:rsid w:val="00EF583E"/>
    <w:rsid w:val="00F265B4"/>
    <w:rsid w:val="00F277F4"/>
    <w:rsid w:val="00F52A29"/>
    <w:rsid w:val="00F540B6"/>
    <w:rsid w:val="00F75334"/>
    <w:rsid w:val="00F958E1"/>
    <w:rsid w:val="00FC6097"/>
    <w:rsid w:val="00FC6CD0"/>
    <w:rsid w:val="00FD6265"/>
    <w:rsid w:val="00FE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46910"/>
  <w15:chartTrackingRefBased/>
  <w15:docId w15:val="{6BE717EC-CA3E-4B8C-8133-A8A5A2A30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6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1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1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1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1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1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1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1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1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61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61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61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61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6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141"/>
    <w:rPr>
      <w:rFonts w:eastAsiaTheme="majorEastAsia" w:cstheme="majorBidi"/>
      <w:color w:val="272727" w:themeColor="text1" w:themeTint="D8"/>
    </w:rPr>
  </w:style>
  <w:style w:type="paragraph" w:styleId="Title">
    <w:name w:val="Title"/>
    <w:basedOn w:val="Normal"/>
    <w:next w:val="Normal"/>
    <w:link w:val="TitleChar"/>
    <w:uiPriority w:val="10"/>
    <w:qFormat/>
    <w:rsid w:val="00E36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1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141"/>
    <w:pPr>
      <w:spacing w:before="160"/>
      <w:jc w:val="center"/>
    </w:pPr>
    <w:rPr>
      <w:i/>
      <w:iCs/>
      <w:color w:val="404040" w:themeColor="text1" w:themeTint="BF"/>
    </w:rPr>
  </w:style>
  <w:style w:type="character" w:customStyle="1" w:styleId="QuoteChar">
    <w:name w:val="Quote Char"/>
    <w:basedOn w:val="DefaultParagraphFont"/>
    <w:link w:val="Quote"/>
    <w:uiPriority w:val="29"/>
    <w:rsid w:val="00E36141"/>
    <w:rPr>
      <w:i/>
      <w:iCs/>
      <w:color w:val="404040" w:themeColor="text1" w:themeTint="BF"/>
    </w:rPr>
  </w:style>
  <w:style w:type="paragraph" w:styleId="ListParagraph">
    <w:name w:val="List Paragraph"/>
    <w:basedOn w:val="Normal"/>
    <w:uiPriority w:val="34"/>
    <w:qFormat/>
    <w:rsid w:val="00E36141"/>
    <w:pPr>
      <w:ind w:left="720"/>
      <w:contextualSpacing/>
    </w:pPr>
  </w:style>
  <w:style w:type="character" w:styleId="IntenseEmphasis">
    <w:name w:val="Intense Emphasis"/>
    <w:basedOn w:val="DefaultParagraphFont"/>
    <w:uiPriority w:val="21"/>
    <w:qFormat/>
    <w:rsid w:val="00E36141"/>
    <w:rPr>
      <w:i/>
      <w:iCs/>
      <w:color w:val="0F4761" w:themeColor="accent1" w:themeShade="BF"/>
    </w:rPr>
  </w:style>
  <w:style w:type="paragraph" w:styleId="IntenseQuote">
    <w:name w:val="Intense Quote"/>
    <w:basedOn w:val="Normal"/>
    <w:next w:val="Normal"/>
    <w:link w:val="IntenseQuoteChar"/>
    <w:uiPriority w:val="30"/>
    <w:qFormat/>
    <w:rsid w:val="00E36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141"/>
    <w:rPr>
      <w:i/>
      <w:iCs/>
      <w:color w:val="0F4761" w:themeColor="accent1" w:themeShade="BF"/>
    </w:rPr>
  </w:style>
  <w:style w:type="character" w:styleId="IntenseReference">
    <w:name w:val="Intense Reference"/>
    <w:basedOn w:val="DefaultParagraphFont"/>
    <w:uiPriority w:val="32"/>
    <w:qFormat/>
    <w:rsid w:val="00E36141"/>
    <w:rPr>
      <w:b/>
      <w:bCs/>
      <w:smallCaps/>
      <w:color w:val="0F4761" w:themeColor="accent1" w:themeShade="BF"/>
      <w:spacing w:val="5"/>
    </w:rPr>
  </w:style>
  <w:style w:type="paragraph" w:styleId="Revision">
    <w:name w:val="Revision"/>
    <w:hidden/>
    <w:uiPriority w:val="99"/>
    <w:semiHidden/>
    <w:rsid w:val="00A76ACA"/>
    <w:pPr>
      <w:spacing w:after="0" w:line="240" w:lineRule="auto"/>
    </w:pPr>
  </w:style>
  <w:style w:type="paragraph" w:styleId="NoSpacing">
    <w:name w:val="No Spacing"/>
    <w:uiPriority w:val="1"/>
    <w:qFormat/>
    <w:rsid w:val="00347FFE"/>
    <w:pPr>
      <w:spacing w:after="0" w:line="240" w:lineRule="auto"/>
    </w:pPr>
  </w:style>
  <w:style w:type="character" w:styleId="Hyperlink">
    <w:name w:val="Hyperlink"/>
    <w:basedOn w:val="DefaultParagraphFont"/>
    <w:uiPriority w:val="99"/>
    <w:unhideWhenUsed/>
    <w:rsid w:val="00D03B2F"/>
    <w:rPr>
      <w:color w:val="467886" w:themeColor="hyperlink"/>
      <w:u w:val="single"/>
    </w:rPr>
  </w:style>
  <w:style w:type="character" w:styleId="UnresolvedMention">
    <w:name w:val="Unresolved Mention"/>
    <w:basedOn w:val="DefaultParagraphFont"/>
    <w:uiPriority w:val="99"/>
    <w:semiHidden/>
    <w:unhideWhenUsed/>
    <w:rsid w:val="00D03B2F"/>
    <w:rPr>
      <w:color w:val="605E5C"/>
      <w:shd w:val="clear" w:color="auto" w:fill="E1DFDD"/>
    </w:rPr>
  </w:style>
  <w:style w:type="paragraph" w:styleId="Header">
    <w:name w:val="header"/>
    <w:basedOn w:val="Normal"/>
    <w:link w:val="HeaderChar"/>
    <w:uiPriority w:val="99"/>
    <w:unhideWhenUsed/>
    <w:rsid w:val="00CC7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2C2"/>
  </w:style>
  <w:style w:type="paragraph" w:styleId="Footer">
    <w:name w:val="footer"/>
    <w:basedOn w:val="Normal"/>
    <w:link w:val="FooterChar"/>
    <w:uiPriority w:val="99"/>
    <w:unhideWhenUsed/>
    <w:rsid w:val="00CC7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loomingtonidaho.ne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3125</Words>
  <Characters>17815</Characters>
  <Application>Microsoft Office Word</Application>
  <DocSecurity>0</DocSecurity>
  <Lines>148</Lines>
  <Paragraphs>41</Paragraphs>
  <ScaleCrop>false</ScaleCrop>
  <Company/>
  <LinksUpToDate>false</LinksUpToDate>
  <CharactersWithSpaces>20899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Call</dc:creator>
  <cp:keywords/>
  <dc:description/>
  <cp:lastModifiedBy>City Clerk</cp:lastModifiedBy>
  <cp:revision>2</cp:revision>
  <dcterms:created xsi:type="dcterms:W3CDTF">2026-04-20T02:38:00Z</dcterms:created>
  <dcterms:modified xsi:type="dcterms:W3CDTF">2026-04-20T02:38:00Z</dcterms:modified>
</cp:coreProperties>
</file>